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rPr>
          <w:b/>
          <w:bCs/>
          <w:sz w:val="28"/>
          <w:szCs w:val="28"/>
        </w:rPr>
        <w:t xml:space="preserve">Supplement: Full Adjudication and Crosswalk Tables</w:t>
      </w:r>
    </w:p>
    <w:p>
      <w:pPr>
        <w:spacing w:after="120"/>
      </w:pPr>
      <w:r>
        <w:t xml:space="preserve">Companion to: Human-Adjudicated Semantic Alignment of Critical-Infrastructure Cybersecurity Requirements (Ikwuogu). Machine-readable versions of both tables are at data/processed/adjudication.csv and data/processed/crosswalk.csv.</w:t>
      </w:r>
    </w:p>
    <w:p>
      <w:pPr>
        <w:pStyle w:val="Heading1"/>
        <w:spacing w:after="160" w:before="320"/>
      </w:pPr>
      <w:r>
        <w:t xml:space="preserve">S1. Full adjudication table (22 CSF 2.0 categories)</w:t>
      </w:r>
    </w:p>
    <w:tbl>
      <w:tblPr>
        <w:tblW w:type="dxa" w:w="10500"/>
        <w:tblBorders>
          <w:top w:val="single" w:color="auto" w:sz="4"/>
          <w:left w:val="single" w:color="auto" w:sz="4"/>
          <w:bottom w:val="single" w:color="auto" w:sz="4"/>
          <w:right w:val="single" w:color="auto" w:sz="4"/>
          <w:insideH w:val="single" w:color="auto" w:sz="4"/>
          <w:insideV w:val="single" w:color="auto" w:sz="4"/>
        </w:tblBorders>
      </w:tblPr>
      <w:tblGrid>
        <w:gridCol w:w="1400"/>
        <w:gridCol w:w="1300"/>
        <w:gridCol w:w="2600"/>
        <w:gridCol w:w="1100"/>
        <w:gridCol w:w="4100"/>
      </w:tblGrid>
      <w:tr>
        <w:trPr>
          <w:tblHeader/>
        </w:trPr>
        <w:tc>
          <w:tcPr>
            <w:tcW w:type="dxa" w:w="1400"/>
            <w:shd w:fill="E1E0D9" w:val="clear"/>
          </w:tcPr>
          <w:p>
            <w:r>
              <w:rPr>
                <w:b/>
                <w:bCs/>
                <w:sz w:val="16"/>
                <w:szCs w:val="16"/>
              </w:rPr>
              <w:t xml:space="preserve">Category</w:t>
            </w:r>
          </w:p>
        </w:tc>
        <w:tc>
          <w:tcPr>
            <w:tcW w:type="dxa" w:w="1300"/>
            <w:shd w:fill="E1E0D9" w:val="clear"/>
          </w:tcPr>
          <w:p>
            <w:r>
              <w:rPr>
                <w:b/>
                <w:bCs/>
                <w:sz w:val="16"/>
                <w:szCs w:val="16"/>
              </w:rPr>
              <w:t xml:space="preserve">Function</w:t>
            </w:r>
          </w:p>
        </w:tc>
        <w:tc>
          <w:tcPr>
            <w:tcW w:type="dxa" w:w="2600"/>
            <w:shd w:fill="E1E0D9" w:val="clear"/>
          </w:tcPr>
          <w:p>
            <w:r>
              <w:rPr>
                <w:b/>
                <w:bCs/>
                <w:sz w:val="16"/>
                <w:szCs w:val="16"/>
              </w:rPr>
              <w:t xml:space="preserve">Frameworks present</w:t>
            </w:r>
          </w:p>
        </w:tc>
        <w:tc>
          <w:tcPr>
            <w:tcW w:type="dxa" w:w="1100"/>
            <w:shd w:fill="E1E0D9" w:val="clear"/>
          </w:tcPr>
          <w:p>
            <w:r>
              <w:rPr>
                <w:b/>
                <w:bCs/>
                <w:sz w:val="16"/>
                <w:szCs w:val="16"/>
              </w:rPr>
              <w:t xml:space="preserve">Verdict</w:t>
            </w:r>
          </w:p>
        </w:tc>
        <w:tc>
          <w:tcPr>
            <w:tcW w:type="dxa" w:w="4100"/>
            <w:shd w:fill="E1E0D9" w:val="clear"/>
          </w:tcPr>
          <w:p>
            <w:r>
              <w:rPr>
                <w:b/>
                <w:bCs/>
                <w:sz w:val="16"/>
                <w:szCs w:val="16"/>
              </w:rPr>
              <w:t xml:space="preserve">Rationale</w:t>
            </w:r>
          </w:p>
        </w:tc>
      </w:tr>
      <w:tr>
        <w:tc>
          <w:tcPr>
            <w:tcW w:type="dxa" w:w="1400"/>
          </w:tcPr>
          <w:p>
            <w:pPr>
              <w:spacing w:after="120"/>
            </w:pPr>
            <w:r>
              <w:rPr>
                <w:sz w:val="15"/>
                <w:szCs w:val="15"/>
              </w:rPr>
              <w:t xml:space="preserve">GV.OC
Organizational Context</w:t>
            </w:r>
          </w:p>
        </w:tc>
        <w:tc>
          <w:tcPr>
            <w:tcW w:type="dxa" w:w="1300"/>
          </w:tcPr>
          <w:p>
            <w:pPr>
              <w:spacing w:after="120"/>
            </w:pPr>
            <w:r>
              <w:rPr>
                <w:sz w:val="15"/>
                <w:szCs w:val="15"/>
              </w:rPr>
              <w:t xml:space="preserve">GOVERN</w:t>
            </w:r>
          </w:p>
        </w:tc>
        <w:tc>
          <w:tcPr>
            <w:tcW w:type="dxa" w:w="2600"/>
          </w:tcPr>
          <w:p>
            <w:pPr>
              <w:spacing w:after="120"/>
            </w:pPr>
            <w:r>
              <w:rPr>
                <w:sz w:val="15"/>
                <w:szCs w:val="15"/>
              </w:rPr>
              <w:t xml:space="preserve">CPG</w:t>
            </w:r>
          </w:p>
        </w:tc>
        <w:tc>
          <w:tcPr>
            <w:tcW w:type="dxa" w:w="1100"/>
            <w:shd w:fill="EC835A" w:val="clear"/>
          </w:tcPr>
          <w:p>
            <w:pPr>
              <w:spacing w:after="120"/>
            </w:pPr>
            <w:r>
              <w:rPr>
                <w:b/>
                <w:bCs/>
                <w:color w:val="0B0B0B"/>
                <w:sz w:val="15"/>
                <w:szCs w:val="15"/>
              </w:rPr>
              <w:t xml:space="preserve">Gap</w:t>
            </w:r>
          </w:p>
        </w:tc>
        <w:tc>
          <w:tcPr>
            <w:tcW w:type="dxa" w:w="4100"/>
          </w:tcPr>
          <w:p>
            <w:pPr>
              <w:spacing w:after="120"/>
            </w:pPr>
            <w:r>
              <w:rPr>
                <w:sz w:val="14"/>
                <w:szCs w:val="14"/>
              </w:rPr>
              <w:t xml:space="preserve">Only CPG (goal 1.D, medium-confidence mapping) touches organizational context, and only indirectly via IT/OT relationship-building. Neither NERC CIP nor TSA imposes a category-level obligation to document mission, stakeholders, or dependencies.</w:t>
            </w:r>
          </w:p>
        </w:tc>
      </w:tr>
      <w:tr>
        <w:tc>
          <w:tcPr>
            <w:tcW w:type="dxa" w:w="1400"/>
          </w:tcPr>
          <w:p>
            <w:pPr>
              <w:spacing w:after="120"/>
            </w:pPr>
            <w:r>
              <w:rPr>
                <w:sz w:val="15"/>
                <w:szCs w:val="15"/>
              </w:rPr>
              <w:t xml:space="preserve">GV.RM
Risk Management Strategy</w:t>
            </w:r>
          </w:p>
        </w:tc>
        <w:tc>
          <w:tcPr>
            <w:tcW w:type="dxa" w:w="1300"/>
          </w:tcPr>
          <w:p>
            <w:pPr>
              <w:spacing w:after="120"/>
            </w:pPr>
            <w:r>
              <w:rPr>
                <w:sz w:val="15"/>
                <w:szCs w:val="15"/>
              </w:rPr>
              <w:t xml:space="preserve">GOVERN</w:t>
            </w:r>
          </w:p>
        </w:tc>
        <w:tc>
          <w:tcPr>
            <w:tcW w:type="dxa" w:w="2600"/>
          </w:tcPr>
          <w:p>
            <w:pPr>
              <w:spacing w:after="120"/>
            </w:pPr>
            <w:r>
              <w:rPr>
                <w:sz w:val="15"/>
                <w:szCs w:val="15"/>
              </w:rPr>
              <w:t xml:space="preserve">TSA</w:t>
            </w:r>
          </w:p>
        </w:tc>
        <w:tc>
          <w:tcPr>
            <w:tcW w:type="dxa" w:w="1100"/>
            <w:shd w:fill="EC835A" w:val="clear"/>
          </w:tcPr>
          <w:p>
            <w:pPr>
              <w:spacing w:after="120"/>
            </w:pPr>
            <w:r>
              <w:rPr>
                <w:b/>
                <w:bCs/>
                <w:color w:val="0B0B0B"/>
                <w:sz w:val="15"/>
                <w:szCs w:val="15"/>
              </w:rPr>
              <w:t xml:space="preserve">Gap</w:t>
            </w:r>
          </w:p>
        </w:tc>
        <w:tc>
          <w:tcPr>
            <w:tcW w:type="dxa" w:w="4100"/>
          </w:tcPr>
          <w:p>
            <w:pPr>
              <w:spacing w:after="120"/>
            </w:pPr>
            <w:r>
              <w:rPr>
                <w:sz w:val="14"/>
                <w:szCs w:val="14"/>
              </w:rPr>
              <w:t xml:space="preserve">Only the PROPOSED TSA rule (CRM program: annual evaluation + COIP + CAP) creates an explicit enterprise risk-management-strategy obligation at this level, and it is not yet final. CPG and NERC CIP address risk management only through subordinate, narrower categories, not a standalone program-level requirement.</w:t>
            </w:r>
          </w:p>
        </w:tc>
      </w:tr>
      <w:tr>
        <w:tc>
          <w:tcPr>
            <w:tcW w:type="dxa" w:w="1400"/>
          </w:tcPr>
          <w:p>
            <w:pPr>
              <w:spacing w:after="120"/>
            </w:pPr>
            <w:r>
              <w:rPr>
                <w:sz w:val="15"/>
                <w:szCs w:val="15"/>
              </w:rPr>
              <w:t xml:space="preserve">GV.RR
Roles, Responsibilities, and Authorities</w:t>
            </w:r>
          </w:p>
        </w:tc>
        <w:tc>
          <w:tcPr>
            <w:tcW w:type="dxa" w:w="1300"/>
          </w:tcPr>
          <w:p>
            <w:pPr>
              <w:spacing w:after="120"/>
            </w:pPr>
            <w:r>
              <w:rPr>
                <w:sz w:val="15"/>
                <w:szCs w:val="15"/>
              </w:rPr>
              <w:t xml:space="preserve">GOVERN</w:t>
            </w:r>
          </w:p>
        </w:tc>
        <w:tc>
          <w:tcPr>
            <w:tcW w:type="dxa" w:w="2600"/>
          </w:tcPr>
          <w:p>
            <w:pPr>
              <w:spacing w:after="120"/>
            </w:pPr>
            <w:r>
              <w:rPr>
                <w:sz w:val="15"/>
                <w:szCs w:val="15"/>
              </w:rPr>
              <w:t xml:space="preserve">CPG; TSA</w:t>
            </w:r>
          </w:p>
        </w:tc>
        <w:tc>
          <w:tcPr>
            <w:tcW w:type="dxa" w:w="1100"/>
            <w:shd w:fill="FAB219" w:val="clear"/>
          </w:tcPr>
          <w:p>
            <w:pPr>
              <w:spacing w:after="120"/>
            </w:pPr>
            <w:r>
              <w:rPr>
                <w:b/>
                <w:bCs/>
                <w:color w:val="0B0B0B"/>
                <w:sz w:val="15"/>
                <w:szCs w:val="15"/>
              </w:rPr>
              <w:t xml:space="preserve">Partial</w:t>
            </w:r>
          </w:p>
        </w:tc>
        <w:tc>
          <w:tcPr>
            <w:tcW w:type="dxa" w:w="4100"/>
          </w:tcPr>
          <w:p>
            <w:pPr>
              <w:spacing w:after="120"/>
            </w:pPr>
            <w:r>
              <w:rPr>
                <w:sz w:val="14"/>
                <w:szCs w:val="14"/>
              </w:rPr>
              <w:t xml:space="preserve">CPG (1.B/1.C) and the CURRENTLY EFFECTIVE TSA Security Directive (named Cybersecurity Coordinator) both require an accountable named role -- these reinforce each other. NERC CIP has no equivalent standalone roles/authorities requirement (CIP-003's governance content maps to Policy, not Roles), so NERC is a gap within an otherwise-reinforcing pair.</w:t>
            </w:r>
          </w:p>
        </w:tc>
      </w:tr>
      <w:tr>
        <w:tc>
          <w:tcPr>
            <w:tcW w:type="dxa" w:w="1400"/>
          </w:tcPr>
          <w:p>
            <w:pPr>
              <w:spacing w:after="120"/>
            </w:pPr>
            <w:r>
              <w:rPr>
                <w:sz w:val="15"/>
                <w:szCs w:val="15"/>
              </w:rPr>
              <w:t xml:space="preserve">GV.PO
Policy</w:t>
            </w:r>
          </w:p>
        </w:tc>
        <w:tc>
          <w:tcPr>
            <w:tcW w:type="dxa" w:w="1300"/>
          </w:tcPr>
          <w:p>
            <w:pPr>
              <w:spacing w:after="120"/>
            </w:pPr>
            <w:r>
              <w:rPr>
                <w:sz w:val="15"/>
                <w:szCs w:val="15"/>
              </w:rPr>
              <w:t xml:space="preserve">GOVERN</w:t>
            </w:r>
          </w:p>
        </w:tc>
        <w:tc>
          <w:tcPr>
            <w:tcW w:type="dxa" w:w="2600"/>
          </w:tcPr>
          <w:p>
            <w:pPr>
              <w:spacing w:after="120"/>
            </w:pPr>
            <w:r>
              <w:rPr>
                <w:sz w:val="15"/>
                <w:szCs w:val="15"/>
              </w:rPr>
              <w:t xml:space="preserve">NERC CIP</w:t>
            </w:r>
          </w:p>
        </w:tc>
        <w:tc>
          <w:tcPr>
            <w:tcW w:type="dxa" w:w="1100"/>
            <w:shd w:fill="EC835A" w:val="clear"/>
          </w:tcPr>
          <w:p>
            <w:pPr>
              <w:spacing w:after="120"/>
            </w:pPr>
            <w:r>
              <w:rPr>
                <w:b/>
                <w:bCs/>
                <w:color w:val="0B0B0B"/>
                <w:sz w:val="15"/>
                <w:szCs w:val="15"/>
              </w:rPr>
              <w:t xml:space="preserve">Gap</w:t>
            </w:r>
          </w:p>
        </w:tc>
        <w:tc>
          <w:tcPr>
            <w:tcW w:type="dxa" w:w="4100"/>
          </w:tcPr>
          <w:p>
            <w:pPr>
              <w:spacing w:after="120"/>
            </w:pPr>
            <w:r>
              <w:rPr>
                <w:sz w:val="14"/>
                <w:szCs w:val="14"/>
              </w:rPr>
              <w:t xml:space="preserve">Only NERC CIP-003 explicitly mandates a documented cybersecurity policy at the entity level. Neither CPG nor the TSA public-proxy sources name a standalone, category-level policy requirement (policy is implicit, not stated, in both).</w:t>
            </w:r>
          </w:p>
        </w:tc>
      </w:tr>
      <w:tr>
        <w:tc>
          <w:tcPr>
            <w:tcW w:type="dxa" w:w="1400"/>
          </w:tcPr>
          <w:p>
            <w:pPr>
              <w:spacing w:after="120"/>
            </w:pPr>
            <w:r>
              <w:rPr>
                <w:sz w:val="15"/>
                <w:szCs w:val="15"/>
              </w:rPr>
              <w:t xml:space="preserve">GV.OV
Oversight</w:t>
            </w:r>
          </w:p>
        </w:tc>
        <w:tc>
          <w:tcPr>
            <w:tcW w:type="dxa" w:w="1300"/>
          </w:tcPr>
          <w:p>
            <w:pPr>
              <w:spacing w:after="120"/>
            </w:pPr>
            <w:r>
              <w:rPr>
                <w:sz w:val="15"/>
                <w:szCs w:val="15"/>
              </w:rPr>
              <w:t xml:space="preserve">GOVERN</w:t>
            </w:r>
          </w:p>
        </w:tc>
        <w:tc>
          <w:tcPr>
            <w:tcW w:type="dxa" w:w="2600"/>
          </w:tcPr>
          <w:p>
            <w:pPr>
              <w:spacing w:after="120"/>
            </w:pPr>
            <w:r>
              <w:rPr>
                <w:sz w:val="15"/>
                <w:szCs w:val="15"/>
              </w:rPr>
              <w:t xml:space="preserve">CPG</w:t>
            </w:r>
          </w:p>
        </w:tc>
        <w:tc>
          <w:tcPr>
            <w:tcW w:type="dxa" w:w="1100"/>
            <w:shd w:fill="EC835A" w:val="clear"/>
          </w:tcPr>
          <w:p>
            <w:pPr>
              <w:spacing w:after="120"/>
            </w:pPr>
            <w:r>
              <w:rPr>
                <w:b/>
                <w:bCs/>
                <w:color w:val="0B0B0B"/>
                <w:sz w:val="15"/>
                <w:szCs w:val="15"/>
              </w:rPr>
              <w:t xml:space="preserve">Gap</w:t>
            </w:r>
          </w:p>
        </w:tc>
        <w:tc>
          <w:tcPr>
            <w:tcW w:type="dxa" w:w="4100"/>
          </w:tcPr>
          <w:p>
            <w:pPr>
              <w:spacing w:after="120"/>
            </w:pPr>
            <w:r>
              <w:rPr>
                <w:sz w:val="14"/>
                <w:szCs w:val="14"/>
              </w:rPr>
              <w:t xml:space="preserve">The only entry here is CPG-GOV-NEW, a placeholder for an unextracted CPG 2.0 Govern-function goal (primary PDF blocked by CISA's WAF this session -- see docs/NEXT_STEPS.md). Author reviewed and accepted this as an UNRESOLVED_SOURCE_BLOCKED cell for v0.1 (sign-off 2026-09-19), not a confirmed CPG position: NERC CIP and TSA have no oversight-category requirement in any source used here, but whether CPG 2.0 actually does is deferred to v0.2.</w:t>
            </w:r>
          </w:p>
        </w:tc>
      </w:tr>
      <w:tr>
        <w:tc>
          <w:tcPr>
            <w:tcW w:type="dxa" w:w="1400"/>
          </w:tcPr>
          <w:p>
            <w:pPr>
              <w:spacing w:after="120"/>
            </w:pPr>
            <w:r>
              <w:rPr>
                <w:sz w:val="15"/>
                <w:szCs w:val="15"/>
              </w:rPr>
              <w:t xml:space="preserve">GV.SC
Cybersecurity Supply Chain Risk Management</w:t>
            </w:r>
          </w:p>
        </w:tc>
        <w:tc>
          <w:tcPr>
            <w:tcW w:type="dxa" w:w="1300"/>
          </w:tcPr>
          <w:p>
            <w:pPr>
              <w:spacing w:after="120"/>
            </w:pPr>
            <w:r>
              <w:rPr>
                <w:sz w:val="15"/>
                <w:szCs w:val="15"/>
              </w:rPr>
              <w:t xml:space="preserve">GOVERN</w:t>
            </w:r>
          </w:p>
        </w:tc>
        <w:tc>
          <w:tcPr>
            <w:tcW w:type="dxa" w:w="2600"/>
          </w:tcPr>
          <w:p>
            <w:pPr>
              <w:spacing w:after="120"/>
            </w:pPr>
            <w:r>
              <w:rPr>
                <w:sz w:val="15"/>
                <w:szCs w:val="15"/>
              </w:rPr>
              <w:t xml:space="preserve">CPG; NERC CIP</w:t>
            </w:r>
          </w:p>
        </w:tc>
        <w:tc>
          <w:tcPr>
            <w:tcW w:type="dxa" w:w="1100"/>
            <w:shd w:fill="FAB219" w:val="clear"/>
          </w:tcPr>
          <w:p>
            <w:pPr>
              <w:spacing w:after="120"/>
            </w:pPr>
            <w:r>
              <w:rPr>
                <w:b/>
                <w:bCs/>
                <w:color w:val="0B0B0B"/>
                <w:sz w:val="15"/>
                <w:szCs w:val="15"/>
              </w:rPr>
              <w:t xml:space="preserve">Partial</w:t>
            </w:r>
          </w:p>
        </w:tc>
        <w:tc>
          <w:tcPr>
            <w:tcW w:type="dxa" w:w="4100"/>
          </w:tcPr>
          <w:p>
            <w:pPr>
              <w:spacing w:after="120"/>
            </w:pPr>
            <w:r>
              <w:rPr>
                <w:sz w:val="14"/>
                <w:szCs w:val="14"/>
              </w:rPr>
              <w:t xml:space="preserve">CPG (1.G/1.H/1.I) and NERC CIP-013 both impose vendor/supply-chain risk-management obligations and reinforce each other closely. TSA has no supply-chain-specific pipeline cyber obligation in its currently effective SDs; the 2022 NPRM only requests public comment on Secure-by-Design principles, so this is an emerging, not yet binding, area for TSA -- a gap pending the final rule.</w:t>
            </w:r>
          </w:p>
        </w:tc>
      </w:tr>
      <w:tr>
        <w:tc>
          <w:tcPr>
            <w:tcW w:type="dxa" w:w="1400"/>
          </w:tcPr>
          <w:p>
            <w:pPr>
              <w:spacing w:after="120"/>
            </w:pPr>
            <w:r>
              <w:rPr>
                <w:sz w:val="15"/>
                <w:szCs w:val="15"/>
              </w:rPr>
              <w:t xml:space="preserve">ID.AM
Asset Management</w:t>
            </w:r>
          </w:p>
        </w:tc>
        <w:tc>
          <w:tcPr>
            <w:tcW w:type="dxa" w:w="1300"/>
          </w:tcPr>
          <w:p>
            <w:pPr>
              <w:spacing w:after="120"/>
            </w:pPr>
            <w:r>
              <w:rPr>
                <w:sz w:val="15"/>
                <w:szCs w:val="15"/>
              </w:rPr>
              <w:t xml:space="preserve">IDENTIFY</w:t>
            </w:r>
          </w:p>
        </w:tc>
        <w:tc>
          <w:tcPr>
            <w:tcW w:type="dxa" w:w="2600"/>
          </w:tcPr>
          <w:p>
            <w:pPr>
              <w:spacing w:after="120"/>
            </w:pPr>
            <w:r>
              <w:rPr>
                <w:sz w:val="15"/>
                <w:szCs w:val="15"/>
              </w:rPr>
              <w:t xml:space="preserve">CPG; NERC CIP</w:t>
            </w:r>
          </w:p>
        </w:tc>
        <w:tc>
          <w:tcPr>
            <w:tcW w:type="dxa" w:w="1100"/>
            <w:shd w:fill="FAB219" w:val="clear"/>
          </w:tcPr>
          <w:p>
            <w:pPr>
              <w:spacing w:after="120"/>
            </w:pPr>
            <w:r>
              <w:rPr>
                <w:b/>
                <w:bCs/>
                <w:color w:val="0B0B0B"/>
                <w:sz w:val="15"/>
                <w:szCs w:val="15"/>
              </w:rPr>
              <w:t xml:space="preserve">Partial</w:t>
            </w:r>
          </w:p>
        </w:tc>
        <w:tc>
          <w:tcPr>
            <w:tcW w:type="dxa" w:w="4100"/>
          </w:tcPr>
          <w:p>
            <w:pPr>
              <w:spacing w:after="120"/>
            </w:pPr>
            <w:r>
              <w:rPr>
                <w:sz w:val="14"/>
                <w:szCs w:val="14"/>
              </w:rPr>
              <w:t xml:space="preserve">CPG (1.A/2.O/2.P) and NERC CIP-002 both center asset identification/categorization as a foundational, reinforcing obligation. TSA's public SD summary names 'Critical Cyber Systems' as a scoping concept but does not impose a standalone asset-inventory duty independent of the proposed COIP -- a gap on the currently-binding side.</w:t>
            </w:r>
          </w:p>
        </w:tc>
      </w:tr>
      <w:tr>
        <w:tc>
          <w:tcPr>
            <w:tcW w:type="dxa" w:w="1400"/>
          </w:tcPr>
          <w:p>
            <w:pPr>
              <w:spacing w:after="120"/>
            </w:pPr>
            <w:r>
              <w:rPr>
                <w:sz w:val="15"/>
                <w:szCs w:val="15"/>
              </w:rPr>
              <w:t xml:space="preserve">ID.RA
Risk Assessment</w:t>
            </w:r>
          </w:p>
        </w:tc>
        <w:tc>
          <w:tcPr>
            <w:tcW w:type="dxa" w:w="1300"/>
          </w:tcPr>
          <w:p>
            <w:pPr>
              <w:spacing w:after="120"/>
            </w:pPr>
            <w:r>
              <w:rPr>
                <w:sz w:val="15"/>
                <w:szCs w:val="15"/>
              </w:rPr>
              <w:t xml:space="preserve">IDENTIFY</w:t>
            </w:r>
          </w:p>
        </w:tc>
        <w:tc>
          <w:tcPr>
            <w:tcW w:type="dxa" w:w="2600"/>
          </w:tcPr>
          <w:p>
            <w:pPr>
              <w:spacing w:after="120"/>
            </w:pPr>
            <w:r>
              <w:rPr>
                <w:sz w:val="15"/>
                <w:szCs w:val="15"/>
              </w:rPr>
              <w:t xml:space="preserve">CPG; NERC CIP; TSA</w:t>
            </w:r>
          </w:p>
        </w:tc>
        <w:tc>
          <w:tcPr>
            <w:tcW w:type="dxa" w:w="1100"/>
            <w:shd w:fill="0CA30C" w:val="clear"/>
          </w:tcPr>
          <w:p>
            <w:pPr>
              <w:spacing w:after="120"/>
            </w:pPr>
            <w:r>
              <w:rPr>
                <w:b/>
                <w:bCs/>
                <w:color w:val="0B0B0B"/>
                <w:sz w:val="15"/>
                <w:szCs w:val="15"/>
              </w:rPr>
              <w:t xml:space="preserve">Reinforce</w:t>
            </w:r>
          </w:p>
        </w:tc>
        <w:tc>
          <w:tcPr>
            <w:tcW w:type="dxa" w:w="4100"/>
          </w:tcPr>
          <w:p>
            <w:pPr>
              <w:spacing w:after="120"/>
            </w:pPr>
            <w:r>
              <w:rPr>
                <w:sz w:val="14"/>
                <w:szCs w:val="14"/>
              </w:rPr>
              <w:t xml:space="preserve">All three frameworks require some form of periodic vulnerability or risk assessment: CPG 1.E, NERC CIP-010's 15-month vulnerability assessments and CIP-014's substation risk assessment, and the CURRENTLY EFFECTIVE TSA SD vulnerability-assessment and architecture-design-review requirements. This is one of the two strongest three-way alignments in the crosswalk.</w:t>
            </w:r>
          </w:p>
        </w:tc>
      </w:tr>
      <w:tr>
        <w:tc>
          <w:tcPr>
            <w:tcW w:type="dxa" w:w="1400"/>
          </w:tcPr>
          <w:p>
            <w:pPr>
              <w:spacing w:after="120"/>
            </w:pPr>
            <w:r>
              <w:rPr>
                <w:sz w:val="15"/>
                <w:szCs w:val="15"/>
              </w:rPr>
              <w:t xml:space="preserve">ID.IM
Improvement</w:t>
            </w:r>
          </w:p>
        </w:tc>
        <w:tc>
          <w:tcPr>
            <w:tcW w:type="dxa" w:w="1300"/>
          </w:tcPr>
          <w:p>
            <w:pPr>
              <w:spacing w:after="120"/>
            </w:pPr>
            <w:r>
              <w:rPr>
                <w:sz w:val="15"/>
                <w:szCs w:val="15"/>
              </w:rPr>
              <w:t xml:space="preserve">IDENTIFY</w:t>
            </w:r>
          </w:p>
        </w:tc>
        <w:tc>
          <w:tcPr>
            <w:tcW w:type="dxa" w:w="2600"/>
          </w:tcPr>
          <w:p>
            <w:pPr>
              <w:spacing w:after="120"/>
            </w:pPr>
            <w:r>
              <w:rPr>
                <w:sz w:val="15"/>
                <w:szCs w:val="15"/>
              </w:rPr>
              <w:t xml:space="preserve">CPG</w:t>
            </w:r>
          </w:p>
        </w:tc>
        <w:tc>
          <w:tcPr>
            <w:tcW w:type="dxa" w:w="1100"/>
            <w:shd w:fill="EC835A" w:val="clear"/>
          </w:tcPr>
          <w:p>
            <w:pPr>
              <w:spacing w:after="120"/>
            </w:pPr>
            <w:r>
              <w:rPr>
                <w:b/>
                <w:bCs/>
                <w:color w:val="0B0B0B"/>
                <w:sz w:val="15"/>
                <w:szCs w:val="15"/>
              </w:rPr>
              <w:t xml:space="preserve">Gap</w:t>
            </w:r>
          </w:p>
        </w:tc>
        <w:tc>
          <w:tcPr>
            <w:tcW w:type="dxa" w:w="4100"/>
          </w:tcPr>
          <w:p>
            <w:pPr>
              <w:spacing w:after="120"/>
            </w:pPr>
            <w:r>
              <w:rPr>
                <w:sz w:val="14"/>
                <w:szCs w:val="14"/>
              </w:rPr>
              <w:t xml:space="preserve">Only CPG (1.F, third-party validation of control effectiveness) maps here, and only at medium confidence. Neither NERC CIP nor TSA imposes a standalone continuous-improvement/audit obligation distinct from their compliance-monitoring processes.</w:t>
            </w:r>
          </w:p>
        </w:tc>
      </w:tr>
      <w:tr>
        <w:tc>
          <w:tcPr>
            <w:tcW w:type="dxa" w:w="1400"/>
          </w:tcPr>
          <w:p>
            <w:pPr>
              <w:spacing w:after="120"/>
            </w:pPr>
            <w:r>
              <w:rPr>
                <w:sz w:val="15"/>
                <w:szCs w:val="15"/>
              </w:rPr>
              <w:t xml:space="preserve">PR.AA
Identity Management, Authentication, and Access Control</w:t>
            </w:r>
          </w:p>
        </w:tc>
        <w:tc>
          <w:tcPr>
            <w:tcW w:type="dxa" w:w="1300"/>
          </w:tcPr>
          <w:p>
            <w:pPr>
              <w:spacing w:after="120"/>
            </w:pPr>
            <w:r>
              <w:rPr>
                <w:sz w:val="15"/>
                <w:szCs w:val="15"/>
              </w:rPr>
              <w:t xml:space="preserve">PROTECT</w:t>
            </w:r>
          </w:p>
        </w:tc>
        <w:tc>
          <w:tcPr>
            <w:tcW w:type="dxa" w:w="2600"/>
          </w:tcPr>
          <w:p>
            <w:pPr>
              <w:spacing w:after="120"/>
            </w:pPr>
            <w:r>
              <w:rPr>
                <w:sz w:val="15"/>
                <w:szCs w:val="15"/>
              </w:rPr>
              <w:t xml:space="preserve">CPG; NERC CIP; TSA</w:t>
            </w:r>
          </w:p>
        </w:tc>
        <w:tc>
          <w:tcPr>
            <w:tcW w:type="dxa" w:w="1100"/>
            <w:shd w:fill="FAB219" w:val="clear"/>
          </w:tcPr>
          <w:p>
            <w:pPr>
              <w:spacing w:after="120"/>
            </w:pPr>
            <w:r>
              <w:rPr>
                <w:b/>
                <w:bCs/>
                <w:color w:val="0B0B0B"/>
                <w:sz w:val="15"/>
                <w:szCs w:val="15"/>
              </w:rPr>
              <w:t xml:space="preserve">Partial</w:t>
            </w:r>
          </w:p>
        </w:tc>
        <w:tc>
          <w:tcPr>
            <w:tcW w:type="dxa" w:w="4100"/>
          </w:tcPr>
          <w:p>
            <w:pPr>
              <w:spacing w:after="120"/>
            </w:pPr>
            <w:r>
              <w:rPr>
                <w:sz w:val="14"/>
                <w:szCs w:val="14"/>
              </w:rPr>
              <w:t xml:space="preserve">All three converge on the same control objective (authenticated, least-privilege, physical-and-logical access), but enforceability differs sharply: CPG (six goals, 2.A-2.E/2.H) and NERC CIP-006/CIP-007 are specific and currently binding; TSA's access-control specificity exists only in the PROPOSED rule (49 CFR 1586.207) -- the currently effective SDs are more general. This is a regulatory-maturity gap, not a substantive disagreement.</w:t>
            </w:r>
          </w:p>
        </w:tc>
      </w:tr>
      <w:tr>
        <w:tc>
          <w:tcPr>
            <w:tcW w:type="dxa" w:w="1400"/>
          </w:tcPr>
          <w:p>
            <w:pPr>
              <w:spacing w:after="120"/>
            </w:pPr>
            <w:r>
              <w:rPr>
                <w:sz w:val="15"/>
                <w:szCs w:val="15"/>
              </w:rPr>
              <w:t xml:space="preserve">PR.AT
Awareness and Training</w:t>
            </w:r>
          </w:p>
        </w:tc>
        <w:tc>
          <w:tcPr>
            <w:tcW w:type="dxa" w:w="1300"/>
          </w:tcPr>
          <w:p>
            <w:pPr>
              <w:spacing w:after="120"/>
            </w:pPr>
            <w:r>
              <w:rPr>
                <w:sz w:val="15"/>
                <w:szCs w:val="15"/>
              </w:rPr>
              <w:t xml:space="preserve">PROTECT</w:t>
            </w:r>
          </w:p>
        </w:tc>
        <w:tc>
          <w:tcPr>
            <w:tcW w:type="dxa" w:w="2600"/>
          </w:tcPr>
          <w:p>
            <w:pPr>
              <w:spacing w:after="120"/>
            </w:pPr>
            <w:r>
              <w:rPr>
                <w:sz w:val="15"/>
                <w:szCs w:val="15"/>
              </w:rPr>
              <w:t xml:space="preserve">CPG; NERC CIP</w:t>
            </w:r>
          </w:p>
        </w:tc>
        <w:tc>
          <w:tcPr>
            <w:tcW w:type="dxa" w:w="1100"/>
            <w:shd w:fill="FAB219" w:val="clear"/>
          </w:tcPr>
          <w:p>
            <w:pPr>
              <w:spacing w:after="120"/>
            </w:pPr>
            <w:r>
              <w:rPr>
                <w:b/>
                <w:bCs/>
                <w:color w:val="0B0B0B"/>
                <w:sz w:val="15"/>
                <w:szCs w:val="15"/>
              </w:rPr>
              <w:t xml:space="preserve">Partial</w:t>
            </w:r>
          </w:p>
        </w:tc>
        <w:tc>
          <w:tcPr>
            <w:tcW w:type="dxa" w:w="4100"/>
          </w:tcPr>
          <w:p>
            <w:pPr>
              <w:spacing w:after="120"/>
            </w:pPr>
            <w:r>
              <w:rPr>
                <w:sz w:val="14"/>
                <w:szCs w:val="14"/>
              </w:rPr>
              <w:t xml:space="preserve">CPG (2.I/2.J) and NERC CIP-004 both impose explicit, currently-binding training obligations and reinforce each other. TSA's public SD summary names no standalone training requirement -- pipeline-specific cyber training is less codified than the electric-sector equivalent.</w:t>
            </w:r>
          </w:p>
        </w:tc>
      </w:tr>
      <w:tr>
        <w:tc>
          <w:tcPr>
            <w:tcW w:type="dxa" w:w="1400"/>
          </w:tcPr>
          <w:p>
            <w:pPr>
              <w:spacing w:after="120"/>
            </w:pPr>
            <w:r>
              <w:rPr>
                <w:sz w:val="15"/>
                <w:szCs w:val="15"/>
              </w:rPr>
              <w:t xml:space="preserve">PR.DS
Data Security</w:t>
            </w:r>
          </w:p>
        </w:tc>
        <w:tc>
          <w:tcPr>
            <w:tcW w:type="dxa" w:w="1300"/>
          </w:tcPr>
          <w:p>
            <w:pPr>
              <w:spacing w:after="120"/>
            </w:pPr>
            <w:r>
              <w:rPr>
                <w:sz w:val="15"/>
                <w:szCs w:val="15"/>
              </w:rPr>
              <w:t xml:space="preserve">PROTECT</w:t>
            </w:r>
          </w:p>
        </w:tc>
        <w:tc>
          <w:tcPr>
            <w:tcW w:type="dxa" w:w="2600"/>
          </w:tcPr>
          <w:p>
            <w:pPr>
              <w:spacing w:after="120"/>
            </w:pPr>
            <w:r>
              <w:rPr>
                <w:sz w:val="15"/>
                <w:szCs w:val="15"/>
              </w:rPr>
              <w:t xml:space="preserve">CPG; NERC CIP</w:t>
            </w:r>
          </w:p>
        </w:tc>
        <w:tc>
          <w:tcPr>
            <w:tcW w:type="dxa" w:w="1100"/>
            <w:shd w:fill="FAB219" w:val="clear"/>
          </w:tcPr>
          <w:p>
            <w:pPr>
              <w:spacing w:after="120"/>
            </w:pPr>
            <w:r>
              <w:rPr>
                <w:b/>
                <w:bCs/>
                <w:color w:val="0B0B0B"/>
                <w:sz w:val="15"/>
                <w:szCs w:val="15"/>
              </w:rPr>
              <w:t xml:space="preserve">Partial</w:t>
            </w:r>
          </w:p>
        </w:tc>
        <w:tc>
          <w:tcPr>
            <w:tcW w:type="dxa" w:w="4100"/>
          </w:tcPr>
          <w:p>
            <w:pPr>
              <w:spacing w:after="120"/>
            </w:pPr>
            <w:r>
              <w:rPr>
                <w:sz w:val="14"/>
                <w:szCs w:val="14"/>
              </w:rPr>
              <w:t xml:space="preserve">CPG (2.K/2.L/2.R/2.U) and NERC CIP-011/CIP-012 both impose data-protection obligations (encryption, sensitive-data handling, backups, control-center communications integrity) and reinforce each other. TSA has no counterpart -- notable given pipelines transmit SCADA/telemetry data much as NERC-regulated control centers do.</w:t>
            </w:r>
          </w:p>
        </w:tc>
      </w:tr>
      <w:tr>
        <w:tc>
          <w:tcPr>
            <w:tcW w:type="dxa" w:w="1400"/>
          </w:tcPr>
          <w:p>
            <w:pPr>
              <w:spacing w:after="120"/>
            </w:pPr>
            <w:r>
              <w:rPr>
                <w:sz w:val="15"/>
                <w:szCs w:val="15"/>
              </w:rPr>
              <w:t xml:space="preserve">PR.PS
Platform Security</w:t>
            </w:r>
          </w:p>
        </w:tc>
        <w:tc>
          <w:tcPr>
            <w:tcW w:type="dxa" w:w="1300"/>
          </w:tcPr>
          <w:p>
            <w:pPr>
              <w:spacing w:after="120"/>
            </w:pPr>
            <w:r>
              <w:rPr>
                <w:sz w:val="15"/>
                <w:szCs w:val="15"/>
              </w:rPr>
              <w:t xml:space="preserve">PROTECT</w:t>
            </w:r>
          </w:p>
        </w:tc>
        <w:tc>
          <w:tcPr>
            <w:tcW w:type="dxa" w:w="2600"/>
          </w:tcPr>
          <w:p>
            <w:pPr>
              <w:spacing w:after="120"/>
            </w:pPr>
            <w:r>
              <w:rPr>
                <w:sz w:val="15"/>
                <w:szCs w:val="15"/>
              </w:rPr>
              <w:t xml:space="preserve">CPG; NERC CIP; TSA</w:t>
            </w:r>
          </w:p>
        </w:tc>
        <w:tc>
          <w:tcPr>
            <w:tcW w:type="dxa" w:w="1100"/>
            <w:shd w:fill="FAB219" w:val="clear"/>
          </w:tcPr>
          <w:p>
            <w:pPr>
              <w:spacing w:after="120"/>
            </w:pPr>
            <w:r>
              <w:rPr>
                <w:b/>
                <w:bCs/>
                <w:color w:val="0B0B0B"/>
                <w:sz w:val="15"/>
                <w:szCs w:val="15"/>
              </w:rPr>
              <w:t xml:space="preserve">Partial</w:t>
            </w:r>
          </w:p>
        </w:tc>
        <w:tc>
          <w:tcPr>
            <w:tcW w:type="dxa" w:w="4100"/>
          </w:tcPr>
          <w:p>
            <w:pPr>
              <w:spacing w:after="120"/>
            </w:pPr>
            <w:r>
              <w:rPr>
                <w:sz w:val="14"/>
                <w:szCs w:val="14"/>
              </w:rPr>
              <w:t xml:space="preserve">The strongest three-way convergence on control CONTENT: patch management, malicious-code prevention, and platform hardening appear in CPG (2.M/2.N/2.Q/2.V/2.W), NERC CIP-007/CIP-010, and TSA. But TSA's ransomware-mitigation actions are currently effective while its patch-management specificity (49 CFR 1586.207) is still only PROPOSED -- reinforcing in intent, partial in current binding force.</w:t>
            </w:r>
          </w:p>
        </w:tc>
      </w:tr>
      <w:tr>
        <w:tc>
          <w:tcPr>
            <w:tcW w:type="dxa" w:w="1400"/>
          </w:tcPr>
          <w:p>
            <w:pPr>
              <w:spacing w:after="120"/>
            </w:pPr>
            <w:r>
              <w:rPr>
                <w:sz w:val="15"/>
                <w:szCs w:val="15"/>
              </w:rPr>
              <w:t xml:space="preserve">PR.IR
Technology Infrastructure Resilience</w:t>
            </w:r>
          </w:p>
        </w:tc>
        <w:tc>
          <w:tcPr>
            <w:tcW w:type="dxa" w:w="1300"/>
          </w:tcPr>
          <w:p>
            <w:pPr>
              <w:spacing w:after="120"/>
            </w:pPr>
            <w:r>
              <w:rPr>
                <w:sz w:val="15"/>
                <w:szCs w:val="15"/>
              </w:rPr>
              <w:t xml:space="preserve">PROTECT</w:t>
            </w:r>
          </w:p>
        </w:tc>
        <w:tc>
          <w:tcPr>
            <w:tcW w:type="dxa" w:w="2600"/>
          </w:tcPr>
          <w:p>
            <w:pPr>
              <w:spacing w:after="120"/>
            </w:pPr>
            <w:r>
              <w:rPr>
                <w:sz w:val="15"/>
                <w:szCs w:val="15"/>
              </w:rPr>
              <w:t xml:space="preserve">CPG; NERC CIP; TSA</w:t>
            </w:r>
          </w:p>
        </w:tc>
        <w:tc>
          <w:tcPr>
            <w:tcW w:type="dxa" w:w="1100"/>
            <w:shd w:fill="FAB219" w:val="clear"/>
          </w:tcPr>
          <w:p>
            <w:pPr>
              <w:spacing w:after="120"/>
            </w:pPr>
            <w:r>
              <w:rPr>
                <w:b/>
                <w:bCs/>
                <w:color w:val="0B0B0B"/>
                <w:sz w:val="15"/>
                <w:szCs w:val="15"/>
              </w:rPr>
              <w:t xml:space="preserve">Partial</w:t>
            </w:r>
          </w:p>
        </w:tc>
        <w:tc>
          <w:tcPr>
            <w:tcW w:type="dxa" w:w="4100"/>
          </w:tcPr>
          <w:p>
            <w:pPr>
              <w:spacing w:after="120"/>
            </w:pPr>
            <w:r>
              <w:rPr>
                <w:sz w:val="14"/>
                <w:szCs w:val="14"/>
              </w:rPr>
              <w:t xml:space="preserve">Network segmentation / IT-OT boundary protection is a genuinely converging theme: CPG (2.F/2.X), NERC CIP-005 (currently binding), and TSA's PROPOSED 49 CFR 1586.207 segmentation requirement. Reinforcing in principle; TSA's version is not yet binding.</w:t>
            </w:r>
          </w:p>
        </w:tc>
      </w:tr>
      <w:tr>
        <w:tc>
          <w:tcPr>
            <w:tcW w:type="dxa" w:w="1400"/>
          </w:tcPr>
          <w:p>
            <w:pPr>
              <w:spacing w:after="120"/>
            </w:pPr>
            <w:r>
              <w:rPr>
                <w:sz w:val="15"/>
                <w:szCs w:val="15"/>
              </w:rPr>
              <w:t xml:space="preserve">DE.CM
Continuous Monitoring</w:t>
            </w:r>
          </w:p>
        </w:tc>
        <w:tc>
          <w:tcPr>
            <w:tcW w:type="dxa" w:w="1300"/>
          </w:tcPr>
          <w:p>
            <w:pPr>
              <w:spacing w:after="120"/>
            </w:pPr>
            <w:r>
              <w:rPr>
                <w:sz w:val="15"/>
                <w:szCs w:val="15"/>
              </w:rPr>
              <w:t xml:space="preserve">DETECT</w:t>
            </w:r>
          </w:p>
        </w:tc>
        <w:tc>
          <w:tcPr>
            <w:tcW w:type="dxa" w:w="2600"/>
          </w:tcPr>
          <w:p>
            <w:pPr>
              <w:spacing w:after="120"/>
            </w:pPr>
            <w:r>
              <w:rPr>
                <w:sz w:val="15"/>
                <w:szCs w:val="15"/>
              </w:rPr>
              <w:t xml:space="preserve">CPG; NERC CIP; TSA</w:t>
            </w:r>
          </w:p>
        </w:tc>
        <w:tc>
          <w:tcPr>
            <w:tcW w:type="dxa" w:w="1100"/>
            <w:shd w:fill="FAB219" w:val="clear"/>
          </w:tcPr>
          <w:p>
            <w:pPr>
              <w:spacing w:after="120"/>
            </w:pPr>
            <w:r>
              <w:rPr>
                <w:b/>
                <w:bCs/>
                <w:color w:val="0B0B0B"/>
                <w:sz w:val="15"/>
                <w:szCs w:val="15"/>
              </w:rPr>
              <w:t xml:space="preserve">Partial</w:t>
            </w:r>
          </w:p>
        </w:tc>
        <w:tc>
          <w:tcPr>
            <w:tcW w:type="dxa" w:w="4100"/>
          </w:tcPr>
          <w:p>
            <w:pPr>
              <w:spacing w:after="120"/>
            </w:pPr>
            <w:r>
              <w:rPr>
                <w:sz w:val="14"/>
                <w:szCs w:val="14"/>
              </w:rPr>
              <w:t xml:space="preserve">CPG (2.G/2.T/3.A) and NERC CIP-007 logging are currently-binding and reinforcing; TSA's continuous-monitoring requirement (49 CFR 1586.221) is currently only PROPOSED. Same reinforcing-in-principle / partial-in-force pattern as PR.PS and PR.IR.</w:t>
            </w:r>
          </w:p>
        </w:tc>
      </w:tr>
      <w:tr>
        <w:tc>
          <w:tcPr>
            <w:tcW w:type="dxa" w:w="1400"/>
          </w:tcPr>
          <w:p>
            <w:pPr>
              <w:spacing w:after="120"/>
            </w:pPr>
            <w:r>
              <w:rPr>
                <w:sz w:val="15"/>
                <w:szCs w:val="15"/>
              </w:rPr>
              <w:t xml:space="preserve">DE.AE
Adverse Event Analysis</w:t>
            </w:r>
          </w:p>
        </w:tc>
        <w:tc>
          <w:tcPr>
            <w:tcW w:type="dxa" w:w="1300"/>
          </w:tcPr>
          <w:p>
            <w:pPr>
              <w:spacing w:after="120"/>
            </w:pPr>
            <w:r>
              <w:rPr>
                <w:sz w:val="15"/>
                <w:szCs w:val="15"/>
              </w:rPr>
              <w:t xml:space="preserve">DETECT</w:t>
            </w:r>
          </w:p>
        </w:tc>
        <w:tc>
          <w:tcPr>
            <w:tcW w:type="dxa" w:w="2600"/>
          </w:tcPr>
          <w:p>
            <w:pPr>
              <w:spacing w:after="120"/>
            </w:pPr>
            <w:r>
              <w:rPr>
                <w:sz w:val="15"/>
                <w:szCs w:val="15"/>
              </w:rPr>
              <w:t xml:space="preserve">(none)</w:t>
            </w:r>
          </w:p>
        </w:tc>
        <w:tc>
          <w:tcPr>
            <w:tcW w:type="dxa" w:w="1100"/>
            <w:shd w:fill="EC835A" w:val="clear"/>
          </w:tcPr>
          <w:p>
            <w:pPr>
              <w:spacing w:after="120"/>
            </w:pPr>
            <w:r>
              <w:rPr>
                <w:b/>
                <w:bCs/>
                <w:color w:val="0B0B0B"/>
                <w:sz w:val="15"/>
                <w:szCs w:val="15"/>
              </w:rPr>
              <w:t xml:space="preserve">Gap</w:t>
            </w:r>
          </w:p>
        </w:tc>
        <w:tc>
          <w:tcPr>
            <w:tcW w:type="dxa" w:w="4100"/>
          </w:tcPr>
          <w:p>
            <w:pPr>
              <w:spacing w:after="120"/>
            </w:pPr>
            <w:r>
              <w:rPr>
                <w:sz w:val="14"/>
                <w:szCs w:val="14"/>
              </w:rPr>
              <w:t xml:space="preserve">No framework in this crosswalk imposes a standalone adverse-event-ANALYSIS obligation distinct from monitoring/logging itself. All three frameworks require collecting signals (DE.CM) but none explicitly requires correlating or analyzing them as a separate duty -- a genuine blind spot shared across the entire regulatory landscape studied here.</w:t>
            </w:r>
          </w:p>
        </w:tc>
      </w:tr>
      <w:tr>
        <w:tc>
          <w:tcPr>
            <w:tcW w:type="dxa" w:w="1400"/>
          </w:tcPr>
          <w:p>
            <w:pPr>
              <w:spacing w:after="120"/>
            </w:pPr>
            <w:r>
              <w:rPr>
                <w:sz w:val="15"/>
                <w:szCs w:val="15"/>
              </w:rPr>
              <w:t xml:space="preserve">RS.MA
Incident Management</w:t>
            </w:r>
          </w:p>
        </w:tc>
        <w:tc>
          <w:tcPr>
            <w:tcW w:type="dxa" w:w="1300"/>
          </w:tcPr>
          <w:p>
            <w:pPr>
              <w:spacing w:after="120"/>
            </w:pPr>
            <w:r>
              <w:rPr>
                <w:sz w:val="15"/>
                <w:szCs w:val="15"/>
              </w:rPr>
              <w:t xml:space="preserve">RESPOND</w:t>
            </w:r>
          </w:p>
        </w:tc>
        <w:tc>
          <w:tcPr>
            <w:tcW w:type="dxa" w:w="2600"/>
          </w:tcPr>
          <w:p>
            <w:pPr>
              <w:spacing w:after="120"/>
            </w:pPr>
            <w:r>
              <w:rPr>
                <w:sz w:val="15"/>
                <w:szCs w:val="15"/>
              </w:rPr>
              <w:t xml:space="preserve">CPG; NERC CIP</w:t>
            </w:r>
          </w:p>
        </w:tc>
        <w:tc>
          <w:tcPr>
            <w:tcW w:type="dxa" w:w="1100"/>
            <w:shd w:fill="FAB219" w:val="clear"/>
          </w:tcPr>
          <w:p>
            <w:pPr>
              <w:spacing w:after="120"/>
            </w:pPr>
            <w:r>
              <w:rPr>
                <w:b/>
                <w:bCs/>
                <w:color w:val="0B0B0B"/>
                <w:sz w:val="15"/>
                <w:szCs w:val="15"/>
              </w:rPr>
              <w:t xml:space="preserve">Partial</w:t>
            </w:r>
          </w:p>
        </w:tc>
        <w:tc>
          <w:tcPr>
            <w:tcW w:type="dxa" w:w="4100"/>
          </w:tcPr>
          <w:p>
            <w:pPr>
              <w:spacing w:after="120"/>
            </w:pPr>
            <w:r>
              <w:rPr>
                <w:sz w:val="14"/>
                <w:szCs w:val="14"/>
              </w:rPr>
              <w:t xml:space="preserve">NERC CIP-008-PLAN is the most explicit incident-response-PLAN-maintenance requirement (including periodic testing); CPG's 2.S is present but more aspirational. TSA's currently-effective obligations address recovery (RC.RP) and reporting (RS.CO) but not incident-management-plan maintenance as its own duty -- a gap specific to TSA within this category.</w:t>
            </w:r>
          </w:p>
        </w:tc>
      </w:tr>
      <w:tr>
        <w:tc>
          <w:tcPr>
            <w:tcW w:type="dxa" w:w="1400"/>
          </w:tcPr>
          <w:p>
            <w:pPr>
              <w:spacing w:after="120"/>
            </w:pPr>
            <w:r>
              <w:rPr>
                <w:sz w:val="15"/>
                <w:szCs w:val="15"/>
              </w:rPr>
              <w:t xml:space="preserve">RS.AN
Incident Analysis</w:t>
            </w:r>
          </w:p>
        </w:tc>
        <w:tc>
          <w:tcPr>
            <w:tcW w:type="dxa" w:w="1300"/>
          </w:tcPr>
          <w:p>
            <w:pPr>
              <w:spacing w:after="120"/>
            </w:pPr>
            <w:r>
              <w:rPr>
                <w:sz w:val="15"/>
                <w:szCs w:val="15"/>
              </w:rPr>
              <w:t xml:space="preserve">RESPOND</w:t>
            </w:r>
          </w:p>
        </w:tc>
        <w:tc>
          <w:tcPr>
            <w:tcW w:type="dxa" w:w="2600"/>
          </w:tcPr>
          <w:p>
            <w:pPr>
              <w:spacing w:after="120"/>
            </w:pPr>
            <w:r>
              <w:rPr>
                <w:sz w:val="15"/>
                <w:szCs w:val="15"/>
              </w:rPr>
              <w:t xml:space="preserve">(none)</w:t>
            </w:r>
          </w:p>
        </w:tc>
        <w:tc>
          <w:tcPr>
            <w:tcW w:type="dxa" w:w="1100"/>
            <w:shd w:fill="EC835A" w:val="clear"/>
          </w:tcPr>
          <w:p>
            <w:pPr>
              <w:spacing w:after="120"/>
            </w:pPr>
            <w:r>
              <w:rPr>
                <w:b/>
                <w:bCs/>
                <w:color w:val="0B0B0B"/>
                <w:sz w:val="15"/>
                <w:szCs w:val="15"/>
              </w:rPr>
              <w:t xml:space="preserve">Gap</w:t>
            </w:r>
          </w:p>
        </w:tc>
        <w:tc>
          <w:tcPr>
            <w:tcW w:type="dxa" w:w="4100"/>
          </w:tcPr>
          <w:p>
            <w:pPr>
              <w:spacing w:after="120"/>
            </w:pPr>
            <w:r>
              <w:rPr>
                <w:sz w:val="14"/>
                <w:szCs w:val="14"/>
              </w:rPr>
              <w:t xml:space="preserve">No framework imposes a standalone incident-ANALYSIS (root-cause, scope, impact determination) obligation distinct from response and reporting. A second blind spot in the same family as DE.AE.</w:t>
            </w:r>
          </w:p>
        </w:tc>
      </w:tr>
      <w:tr>
        <w:tc>
          <w:tcPr>
            <w:tcW w:type="dxa" w:w="1400"/>
          </w:tcPr>
          <w:p>
            <w:pPr>
              <w:spacing w:after="120"/>
            </w:pPr>
            <w:r>
              <w:rPr>
                <w:sz w:val="15"/>
                <w:szCs w:val="15"/>
              </w:rPr>
              <w:t xml:space="preserve">RS.CO
Incident Response Reporting and Communication</w:t>
            </w:r>
          </w:p>
        </w:tc>
        <w:tc>
          <w:tcPr>
            <w:tcW w:type="dxa" w:w="1300"/>
          </w:tcPr>
          <w:p>
            <w:pPr>
              <w:spacing w:after="120"/>
            </w:pPr>
            <w:r>
              <w:rPr>
                <w:sz w:val="15"/>
                <w:szCs w:val="15"/>
              </w:rPr>
              <w:t xml:space="preserve">RESPOND</w:t>
            </w:r>
          </w:p>
        </w:tc>
        <w:tc>
          <w:tcPr>
            <w:tcW w:type="dxa" w:w="2600"/>
          </w:tcPr>
          <w:p>
            <w:pPr>
              <w:spacing w:after="120"/>
            </w:pPr>
            <w:r>
              <w:rPr>
                <w:sz w:val="15"/>
                <w:szCs w:val="15"/>
              </w:rPr>
              <w:t xml:space="preserve">CPG; NERC CIP; TSA</w:t>
            </w:r>
          </w:p>
        </w:tc>
        <w:tc>
          <w:tcPr>
            <w:tcW w:type="dxa" w:w="1100"/>
            <w:shd w:fill="D03B3B" w:val="clear"/>
          </w:tcPr>
          <w:p>
            <w:pPr>
              <w:spacing w:after="120"/>
            </w:pPr>
            <w:r>
              <w:rPr>
                <w:b/>
                <w:bCs/>
                <w:color w:val="FFFFFF"/>
                <w:sz w:val="15"/>
                <w:szCs w:val="15"/>
              </w:rPr>
              <w:t xml:space="preserve">Conflict</w:t>
            </w:r>
          </w:p>
        </w:tc>
        <w:tc>
          <w:tcPr>
            <w:tcW w:type="dxa" w:w="4100"/>
          </w:tcPr>
          <w:p>
            <w:pPr>
              <w:spacing w:after="120"/>
            </w:pPr>
            <w:r>
              <w:rPr>
                <w:sz w:val="14"/>
                <w:szCs w:val="14"/>
              </w:rPr>
              <w:t xml:space="preserve">Marquee finding, author-reviewed 2026-09-19 (docs/VERIFY_CHECKLIST.md): all three frameworks require incident reporting, but with materially different clocks and destinations: NERC CIP-008-REPORT requires E-ISAC/NCCIC notification within 1 HOUR of determining a Reportable Cyber Security Incident (next calendar day for an attempted compromise); the currently-effective TSA Security Directive requires CISA notification within 24 HOURS; CPG's reporting goal (4.A) sets no fixed mandatory clock at all. A single operator jointly touched by NERC CIP and TSA obligations (e.g., a pipeline compressor station co-located with, or interconnected to, BES facilities) faces genuinely different timers and different recipient agencies for what may be the same incident. This mirrors CRS's independently documented finding (R49009) of a 24h-vs-72h-vs-'without delay' conflict among TSA/CISA-CIRCIA/USCG reporting rules -- extended here to show NERC CIP's 1-hour clock is tighter still, and that CRS's own analysis did not previously include NERC CIP in that comparison. Unlike several other Partial cells in this crosswalk, this conflict is not a temporary artifact of TSA's still-proposed rule: NERC CIP-008's clock and the CURRENTLY EFFECTIVE TSA Security Directive's 24-hour clock are both already binding today, so the misalignment is live now, not merely a risk the final TSA rule might create.</w:t>
            </w:r>
          </w:p>
        </w:tc>
      </w:tr>
      <w:tr>
        <w:tc>
          <w:tcPr>
            <w:tcW w:type="dxa" w:w="1400"/>
          </w:tcPr>
          <w:p>
            <w:pPr>
              <w:spacing w:after="120"/>
            </w:pPr>
            <w:r>
              <w:rPr>
                <w:sz w:val="15"/>
                <w:szCs w:val="15"/>
              </w:rPr>
              <w:t xml:space="preserve">RS.MI
Incident Mitigation</w:t>
            </w:r>
          </w:p>
        </w:tc>
        <w:tc>
          <w:tcPr>
            <w:tcW w:type="dxa" w:w="1300"/>
          </w:tcPr>
          <w:p>
            <w:pPr>
              <w:spacing w:after="120"/>
            </w:pPr>
            <w:r>
              <w:rPr>
                <w:sz w:val="15"/>
                <w:szCs w:val="15"/>
              </w:rPr>
              <w:t xml:space="preserve">RESPOND</w:t>
            </w:r>
          </w:p>
        </w:tc>
        <w:tc>
          <w:tcPr>
            <w:tcW w:type="dxa" w:w="2600"/>
          </w:tcPr>
          <w:p>
            <w:pPr>
              <w:spacing w:after="120"/>
            </w:pPr>
            <w:r>
              <w:rPr>
                <w:sz w:val="15"/>
                <w:szCs w:val="15"/>
              </w:rPr>
              <w:t xml:space="preserve">(none)</w:t>
            </w:r>
          </w:p>
        </w:tc>
        <w:tc>
          <w:tcPr>
            <w:tcW w:type="dxa" w:w="1100"/>
            <w:shd w:fill="EC835A" w:val="clear"/>
          </w:tcPr>
          <w:p>
            <w:pPr>
              <w:spacing w:after="120"/>
            </w:pPr>
            <w:r>
              <w:rPr>
                <w:b/>
                <w:bCs/>
                <w:color w:val="0B0B0B"/>
                <w:sz w:val="15"/>
                <w:szCs w:val="15"/>
              </w:rPr>
              <w:t xml:space="preserve">Gap</w:t>
            </w:r>
          </w:p>
        </w:tc>
        <w:tc>
          <w:tcPr>
            <w:tcW w:type="dxa" w:w="4100"/>
          </w:tcPr>
          <w:p>
            <w:pPr>
              <w:spacing w:after="120"/>
            </w:pPr>
            <w:r>
              <w:rPr>
                <w:sz w:val="14"/>
                <w:szCs w:val="14"/>
              </w:rPr>
              <w:t xml:space="preserve">No framework imposes a standalone in-incident MITIGATION obligation distinct from the protective controls that precede an incident (PR.PS) or the recovery that follows one (RC.RP). A third blind spot in the same family as DE.AE and RS.AN -- together these three gaps suggest all frameworks studied emphasize monitoring and protection over analysis and in-the-moment mitigation, a pattern worth naming explicitly in the discussion.</w:t>
            </w:r>
          </w:p>
        </w:tc>
      </w:tr>
      <w:tr>
        <w:tc>
          <w:tcPr>
            <w:tcW w:type="dxa" w:w="1400"/>
          </w:tcPr>
          <w:p>
            <w:pPr>
              <w:spacing w:after="120"/>
            </w:pPr>
            <w:r>
              <w:rPr>
                <w:sz w:val="15"/>
                <w:szCs w:val="15"/>
              </w:rPr>
              <w:t xml:space="preserve">RC.RP
Incident Recovery Plan Execution</w:t>
            </w:r>
          </w:p>
        </w:tc>
        <w:tc>
          <w:tcPr>
            <w:tcW w:type="dxa" w:w="1300"/>
          </w:tcPr>
          <w:p>
            <w:pPr>
              <w:spacing w:after="120"/>
            </w:pPr>
            <w:r>
              <w:rPr>
                <w:sz w:val="15"/>
                <w:szCs w:val="15"/>
              </w:rPr>
              <w:t xml:space="preserve">RECOVER</w:t>
            </w:r>
          </w:p>
        </w:tc>
        <w:tc>
          <w:tcPr>
            <w:tcW w:type="dxa" w:w="2600"/>
          </w:tcPr>
          <w:p>
            <w:pPr>
              <w:spacing w:after="120"/>
            </w:pPr>
            <w:r>
              <w:rPr>
                <w:sz w:val="15"/>
                <w:szCs w:val="15"/>
              </w:rPr>
              <w:t xml:space="preserve">CPG; NERC CIP; TSA</w:t>
            </w:r>
          </w:p>
        </w:tc>
        <w:tc>
          <w:tcPr>
            <w:tcW w:type="dxa" w:w="1100"/>
            <w:shd w:fill="0CA30C" w:val="clear"/>
          </w:tcPr>
          <w:p>
            <w:pPr>
              <w:spacing w:after="120"/>
            </w:pPr>
            <w:r>
              <w:rPr>
                <w:b/>
                <w:bCs/>
                <w:color w:val="0B0B0B"/>
                <w:sz w:val="15"/>
                <w:szCs w:val="15"/>
              </w:rPr>
              <w:t xml:space="preserve">Reinforce</w:t>
            </w:r>
          </w:p>
        </w:tc>
        <w:tc>
          <w:tcPr>
            <w:tcW w:type="dxa" w:w="4100"/>
          </w:tcPr>
          <w:p>
            <w:pPr>
              <w:spacing w:after="120"/>
            </w:pPr>
            <w:r>
              <w:rPr>
                <w:sz w:val="14"/>
                <w:szCs w:val="14"/>
              </w:rPr>
              <w:t xml:space="preserve">CPG (5.A), NERC CIP-009, and the CURRENTLY EFFECTIVE TSA Security Directive (Cybersecurity Incident Response Plan / contingency and recovery plans) all require recovery planning, and notably all three are ALREADY BINDING or in force (none depends on the still-proposed TSA rule). This is the cleanest, strongest three-way alignment in the entire crosswalk.</w:t>
            </w:r>
          </w:p>
        </w:tc>
      </w:tr>
      <w:tr>
        <w:tc>
          <w:tcPr>
            <w:tcW w:type="dxa" w:w="1400"/>
          </w:tcPr>
          <w:p>
            <w:pPr>
              <w:spacing w:after="120"/>
            </w:pPr>
            <w:r>
              <w:rPr>
                <w:sz w:val="15"/>
                <w:szCs w:val="15"/>
              </w:rPr>
              <w:t xml:space="preserve">RC.CO
Incident Recovery Communication</w:t>
            </w:r>
          </w:p>
        </w:tc>
        <w:tc>
          <w:tcPr>
            <w:tcW w:type="dxa" w:w="1300"/>
          </w:tcPr>
          <w:p>
            <w:pPr>
              <w:spacing w:after="120"/>
            </w:pPr>
            <w:r>
              <w:rPr>
                <w:sz w:val="15"/>
                <w:szCs w:val="15"/>
              </w:rPr>
              <w:t xml:space="preserve">RECOVER</w:t>
            </w:r>
          </w:p>
        </w:tc>
        <w:tc>
          <w:tcPr>
            <w:tcW w:type="dxa" w:w="2600"/>
          </w:tcPr>
          <w:p>
            <w:pPr>
              <w:spacing w:after="120"/>
            </w:pPr>
            <w:r>
              <w:rPr>
                <w:sz w:val="15"/>
                <w:szCs w:val="15"/>
              </w:rPr>
              <w:t xml:space="preserve">(none)</w:t>
            </w:r>
          </w:p>
        </w:tc>
        <w:tc>
          <w:tcPr>
            <w:tcW w:type="dxa" w:w="1100"/>
            <w:shd w:fill="EC835A" w:val="clear"/>
          </w:tcPr>
          <w:p>
            <w:pPr>
              <w:spacing w:after="120"/>
            </w:pPr>
            <w:r>
              <w:rPr>
                <w:b/>
                <w:bCs/>
                <w:color w:val="0B0B0B"/>
                <w:sz w:val="15"/>
                <w:szCs w:val="15"/>
              </w:rPr>
              <w:t xml:space="preserve">Gap</w:t>
            </w:r>
          </w:p>
        </w:tc>
        <w:tc>
          <w:tcPr>
            <w:tcW w:type="dxa" w:w="4100"/>
          </w:tcPr>
          <w:p>
            <w:pPr>
              <w:spacing w:after="120"/>
            </w:pPr>
            <w:r>
              <w:rPr>
                <w:sz w:val="14"/>
                <w:szCs w:val="14"/>
              </w:rPr>
              <w:t xml:space="preserve">No framework separately requires recovery-phase stakeholder communication (as distinct from the initial incident-reporting duty captured under RS.CO). A fourth blind-spot category.</w:t>
            </w:r>
          </w:p>
        </w:tc>
      </w:tr>
    </w:tbl>
    <w:p>
      <w:pPr>
        <w:pStyle w:val="Heading1"/>
        <w:spacing w:after="160" w:before="320"/>
      </w:pPr>
      <w:r>
        <w:t xml:space="preserve">S2. Full crosswalk table (90 rows)</w:t>
      </w:r>
    </w:p>
    <w:tbl>
      <w:tblPr>
        <w:tblW w:type="dxa" w:w="10500"/>
        <w:tblBorders>
          <w:top w:val="single" w:color="auto" w:sz="4"/>
          <w:left w:val="single" w:color="auto" w:sz="4"/>
          <w:bottom w:val="single" w:color="auto" w:sz="4"/>
          <w:right w:val="single" w:color="auto" w:sz="4"/>
          <w:insideH w:val="single" w:color="auto" w:sz="4"/>
          <w:insideV w:val="single" w:color="auto" w:sz="4"/>
        </w:tblBorders>
      </w:tblPr>
      <w:tblGrid>
        <w:gridCol w:w="1300"/>
        <w:gridCol w:w="1300"/>
        <w:gridCol w:w="3600"/>
        <w:gridCol w:w="2600"/>
        <w:gridCol w:w="1700"/>
      </w:tblGrid>
      <w:tr>
        <w:trPr>
          <w:tblHeader/>
        </w:trPr>
        <w:tc>
          <w:tcPr>
            <w:tcW w:type="dxa" w:w="1300"/>
            <w:shd w:fill="E1E0D9" w:val="clear"/>
          </w:tcPr>
          <w:p>
            <w:r>
              <w:rPr>
                <w:b/>
                <w:bCs/>
                <w:sz w:val="16"/>
                <w:szCs w:val="16"/>
              </w:rPr>
              <w:t xml:space="preserve">Row ID</w:t>
            </w:r>
          </w:p>
        </w:tc>
        <w:tc>
          <w:tcPr>
            <w:tcW w:type="dxa" w:w="1300"/>
            <w:shd w:fill="E1E0D9" w:val="clear"/>
          </w:tcPr>
          <w:p>
            <w:r>
              <w:rPr>
                <w:b/>
                <w:bCs/>
                <w:sz w:val="16"/>
                <w:szCs w:val="16"/>
              </w:rPr>
              <w:t xml:space="preserve">Framework</w:t>
            </w:r>
          </w:p>
        </w:tc>
        <w:tc>
          <w:tcPr>
            <w:tcW w:type="dxa" w:w="3600"/>
            <w:shd w:fill="E1E0D9" w:val="clear"/>
          </w:tcPr>
          <w:p>
            <w:r>
              <w:rPr>
                <w:b/>
                <w:bCs/>
                <w:sz w:val="16"/>
                <w:szCs w:val="16"/>
              </w:rPr>
              <w:t xml:space="preserve">Title</w:t>
            </w:r>
          </w:p>
        </w:tc>
        <w:tc>
          <w:tcPr>
            <w:tcW w:type="dxa" w:w="2600"/>
            <w:shd w:fill="E1E0D9" w:val="clear"/>
          </w:tcPr>
          <w:p>
            <w:r>
              <w:rPr>
                <w:b/>
                <w:bCs/>
                <w:sz w:val="16"/>
                <w:szCs w:val="16"/>
              </w:rPr>
              <w:t xml:space="preserve">CSF 2.0 Category</w:t>
            </w:r>
          </w:p>
        </w:tc>
        <w:tc>
          <w:tcPr>
            <w:tcW w:type="dxa" w:w="1700"/>
            <w:shd w:fill="E1E0D9" w:val="clear"/>
          </w:tcPr>
          <w:p>
            <w:r>
              <w:rPr>
                <w:b/>
                <w:bCs/>
                <w:sz w:val="16"/>
                <w:szCs w:val="16"/>
              </w:rPr>
              <w:t xml:space="preserve">Confidence</w:t>
            </w:r>
          </w:p>
        </w:tc>
      </w:tr>
      <w:tr>
        <w:tc>
          <w:tcPr>
            <w:tcW w:type="dxa" w:w="1300"/>
          </w:tcPr>
          <w:p>
            <w:pPr>
              <w:spacing w:after="120"/>
            </w:pPr>
            <w:r>
              <w:rPr>
                <w:sz w:val="14"/>
                <w:szCs w:val="14"/>
              </w:rPr>
              <w:t xml:space="preserve">CPG-1.A</w:t>
            </w:r>
          </w:p>
        </w:tc>
        <w:tc>
          <w:tcPr>
            <w:tcW w:type="dxa" w:w="1300"/>
          </w:tcPr>
          <w:p>
            <w:pPr>
              <w:spacing w:after="120"/>
            </w:pPr>
            <w:r>
              <w:rPr>
                <w:sz w:val="14"/>
                <w:szCs w:val="14"/>
              </w:rPr>
              <w:t xml:space="preserve">CPG</w:t>
            </w:r>
          </w:p>
        </w:tc>
        <w:tc>
          <w:tcPr>
            <w:tcW w:type="dxa" w:w="3600"/>
          </w:tcPr>
          <w:p>
            <w:pPr>
              <w:spacing w:after="120"/>
            </w:pPr>
            <w:r>
              <w:rPr>
                <w:sz w:val="14"/>
                <w:szCs w:val="14"/>
              </w:rPr>
              <w:t xml:space="preserve">Asset Inventory</w:t>
            </w:r>
          </w:p>
        </w:tc>
        <w:tc>
          <w:tcPr>
            <w:tcW w:type="dxa" w:w="2600"/>
          </w:tcPr>
          <w:p>
            <w:pPr>
              <w:spacing w:after="120"/>
            </w:pPr>
            <w:r>
              <w:rPr>
                <w:sz w:val="14"/>
                <w:szCs w:val="14"/>
              </w:rPr>
              <w:t xml:space="preserve">ID.AM Asset Management</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CPG-1.B</w:t>
            </w:r>
          </w:p>
        </w:tc>
        <w:tc>
          <w:tcPr>
            <w:tcW w:type="dxa" w:w="1300"/>
          </w:tcPr>
          <w:p>
            <w:pPr>
              <w:spacing w:after="120"/>
            </w:pPr>
            <w:r>
              <w:rPr>
                <w:sz w:val="14"/>
                <w:szCs w:val="14"/>
              </w:rPr>
              <w:t xml:space="preserve">CPG</w:t>
            </w:r>
          </w:p>
        </w:tc>
        <w:tc>
          <w:tcPr>
            <w:tcW w:type="dxa" w:w="3600"/>
          </w:tcPr>
          <w:p>
            <w:pPr>
              <w:spacing w:after="120"/>
            </w:pPr>
            <w:r>
              <w:rPr>
                <w:sz w:val="14"/>
                <w:szCs w:val="14"/>
              </w:rPr>
              <w:t xml:space="preserve">Organizational Cybersecurity Leadership</w:t>
            </w:r>
          </w:p>
        </w:tc>
        <w:tc>
          <w:tcPr>
            <w:tcW w:type="dxa" w:w="2600"/>
          </w:tcPr>
          <w:p>
            <w:pPr>
              <w:spacing w:after="120"/>
            </w:pPr>
            <w:r>
              <w:rPr>
                <w:sz w:val="14"/>
                <w:szCs w:val="14"/>
              </w:rPr>
              <w:t xml:space="preserve">GV.RR Roles, Responsibilities, and Authorities</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CPG-1.C</w:t>
            </w:r>
          </w:p>
        </w:tc>
        <w:tc>
          <w:tcPr>
            <w:tcW w:type="dxa" w:w="1300"/>
          </w:tcPr>
          <w:p>
            <w:pPr>
              <w:spacing w:after="120"/>
            </w:pPr>
            <w:r>
              <w:rPr>
                <w:sz w:val="14"/>
                <w:szCs w:val="14"/>
              </w:rPr>
              <w:t xml:space="preserve">CPG</w:t>
            </w:r>
          </w:p>
        </w:tc>
        <w:tc>
          <w:tcPr>
            <w:tcW w:type="dxa" w:w="3600"/>
          </w:tcPr>
          <w:p>
            <w:pPr>
              <w:spacing w:after="120"/>
            </w:pPr>
            <w:r>
              <w:rPr>
                <w:sz w:val="14"/>
                <w:szCs w:val="14"/>
              </w:rPr>
              <w:t xml:space="preserve">OT Cybersecurity Leadership</w:t>
            </w:r>
          </w:p>
        </w:tc>
        <w:tc>
          <w:tcPr>
            <w:tcW w:type="dxa" w:w="2600"/>
          </w:tcPr>
          <w:p>
            <w:pPr>
              <w:spacing w:after="120"/>
            </w:pPr>
            <w:r>
              <w:rPr>
                <w:sz w:val="14"/>
                <w:szCs w:val="14"/>
              </w:rPr>
              <w:t xml:space="preserve">GV.RR Roles, Responsibilities, and Authorities</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CPG-1.D</w:t>
            </w:r>
          </w:p>
        </w:tc>
        <w:tc>
          <w:tcPr>
            <w:tcW w:type="dxa" w:w="1300"/>
          </w:tcPr>
          <w:p>
            <w:pPr>
              <w:spacing w:after="120"/>
            </w:pPr>
            <w:r>
              <w:rPr>
                <w:sz w:val="14"/>
                <w:szCs w:val="14"/>
              </w:rPr>
              <w:t xml:space="preserve">CPG</w:t>
            </w:r>
          </w:p>
        </w:tc>
        <w:tc>
          <w:tcPr>
            <w:tcW w:type="dxa" w:w="3600"/>
          </w:tcPr>
          <w:p>
            <w:pPr>
              <w:spacing w:after="120"/>
            </w:pPr>
            <w:r>
              <w:rPr>
                <w:sz w:val="14"/>
                <w:szCs w:val="14"/>
              </w:rPr>
              <w:t xml:space="preserve">Improving IT and OT Cybersecurity Relationships</w:t>
            </w:r>
          </w:p>
        </w:tc>
        <w:tc>
          <w:tcPr>
            <w:tcW w:type="dxa" w:w="2600"/>
          </w:tcPr>
          <w:p>
            <w:pPr>
              <w:spacing w:after="120"/>
            </w:pPr>
            <w:r>
              <w:rPr>
                <w:sz w:val="14"/>
                <w:szCs w:val="14"/>
              </w:rPr>
              <w:t xml:space="preserve">GV.OC Organizational Context</w:t>
            </w:r>
          </w:p>
        </w:tc>
        <w:tc>
          <w:tcPr>
            <w:tcW w:type="dxa" w:w="1700"/>
          </w:tcPr>
          <w:p>
            <w:pPr>
              <w:spacing w:after="120"/>
            </w:pPr>
            <w:r>
              <w:rPr>
                <w:sz w:val="14"/>
                <w:szCs w:val="14"/>
              </w:rPr>
              <w:t xml:space="preserve">medium</w:t>
            </w:r>
          </w:p>
        </w:tc>
      </w:tr>
      <w:tr>
        <w:tc>
          <w:tcPr>
            <w:tcW w:type="dxa" w:w="1300"/>
          </w:tcPr>
          <w:p>
            <w:pPr>
              <w:spacing w:after="120"/>
            </w:pPr>
            <w:r>
              <w:rPr>
                <w:sz w:val="14"/>
                <w:szCs w:val="14"/>
              </w:rPr>
              <w:t xml:space="preserve">CPG-1.E</w:t>
            </w:r>
          </w:p>
        </w:tc>
        <w:tc>
          <w:tcPr>
            <w:tcW w:type="dxa" w:w="1300"/>
          </w:tcPr>
          <w:p>
            <w:pPr>
              <w:spacing w:after="120"/>
            </w:pPr>
            <w:r>
              <w:rPr>
                <w:sz w:val="14"/>
                <w:szCs w:val="14"/>
              </w:rPr>
              <w:t xml:space="preserve">CPG</w:t>
            </w:r>
          </w:p>
        </w:tc>
        <w:tc>
          <w:tcPr>
            <w:tcW w:type="dxa" w:w="3600"/>
          </w:tcPr>
          <w:p>
            <w:pPr>
              <w:spacing w:after="120"/>
            </w:pPr>
            <w:r>
              <w:rPr>
                <w:sz w:val="14"/>
                <w:szCs w:val="14"/>
              </w:rPr>
              <w:t xml:space="preserve">Mitigating Known Vulnerabilities</w:t>
            </w:r>
          </w:p>
        </w:tc>
        <w:tc>
          <w:tcPr>
            <w:tcW w:type="dxa" w:w="2600"/>
          </w:tcPr>
          <w:p>
            <w:pPr>
              <w:spacing w:after="120"/>
            </w:pPr>
            <w:r>
              <w:rPr>
                <w:sz w:val="14"/>
                <w:szCs w:val="14"/>
              </w:rPr>
              <w:t xml:space="preserve">ID.RA Risk Assessment</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CPG-1.F</w:t>
            </w:r>
          </w:p>
        </w:tc>
        <w:tc>
          <w:tcPr>
            <w:tcW w:type="dxa" w:w="1300"/>
          </w:tcPr>
          <w:p>
            <w:pPr>
              <w:spacing w:after="120"/>
            </w:pPr>
            <w:r>
              <w:rPr>
                <w:sz w:val="14"/>
                <w:szCs w:val="14"/>
              </w:rPr>
              <w:t xml:space="preserve">CPG</w:t>
            </w:r>
          </w:p>
        </w:tc>
        <w:tc>
          <w:tcPr>
            <w:tcW w:type="dxa" w:w="3600"/>
          </w:tcPr>
          <w:p>
            <w:pPr>
              <w:spacing w:after="120"/>
            </w:pPr>
            <w:r>
              <w:rPr>
                <w:sz w:val="14"/>
                <w:szCs w:val="14"/>
              </w:rPr>
              <w:t xml:space="preserve">Third-Party Validation of Cybersecurity Control Effectiveness</w:t>
            </w:r>
          </w:p>
        </w:tc>
        <w:tc>
          <w:tcPr>
            <w:tcW w:type="dxa" w:w="2600"/>
          </w:tcPr>
          <w:p>
            <w:pPr>
              <w:spacing w:after="120"/>
            </w:pPr>
            <w:r>
              <w:rPr>
                <w:sz w:val="14"/>
                <w:szCs w:val="14"/>
              </w:rPr>
              <w:t xml:space="preserve">ID.IM Improvement</w:t>
            </w:r>
          </w:p>
        </w:tc>
        <w:tc>
          <w:tcPr>
            <w:tcW w:type="dxa" w:w="1700"/>
          </w:tcPr>
          <w:p>
            <w:pPr>
              <w:spacing w:after="120"/>
            </w:pPr>
            <w:r>
              <w:rPr>
                <w:sz w:val="14"/>
                <w:szCs w:val="14"/>
              </w:rPr>
              <w:t xml:space="preserve">medium</w:t>
            </w:r>
          </w:p>
        </w:tc>
      </w:tr>
      <w:tr>
        <w:tc>
          <w:tcPr>
            <w:tcW w:type="dxa" w:w="1300"/>
          </w:tcPr>
          <w:p>
            <w:pPr>
              <w:spacing w:after="120"/>
            </w:pPr>
            <w:r>
              <w:rPr>
                <w:sz w:val="14"/>
                <w:szCs w:val="14"/>
              </w:rPr>
              <w:t xml:space="preserve">CPG-1.G</w:t>
            </w:r>
          </w:p>
        </w:tc>
        <w:tc>
          <w:tcPr>
            <w:tcW w:type="dxa" w:w="1300"/>
          </w:tcPr>
          <w:p>
            <w:pPr>
              <w:spacing w:after="120"/>
            </w:pPr>
            <w:r>
              <w:rPr>
                <w:sz w:val="14"/>
                <w:szCs w:val="14"/>
              </w:rPr>
              <w:t xml:space="preserve">CPG</w:t>
            </w:r>
          </w:p>
        </w:tc>
        <w:tc>
          <w:tcPr>
            <w:tcW w:type="dxa" w:w="3600"/>
          </w:tcPr>
          <w:p>
            <w:pPr>
              <w:spacing w:after="120"/>
            </w:pPr>
            <w:r>
              <w:rPr>
                <w:sz w:val="14"/>
                <w:szCs w:val="14"/>
              </w:rPr>
              <w:t xml:space="preserve">Supply Chain Incident Reporting</w:t>
            </w:r>
          </w:p>
        </w:tc>
        <w:tc>
          <w:tcPr>
            <w:tcW w:type="dxa" w:w="2600"/>
          </w:tcPr>
          <w:p>
            <w:pPr>
              <w:spacing w:after="120"/>
            </w:pPr>
            <w:r>
              <w:rPr>
                <w:sz w:val="14"/>
                <w:szCs w:val="14"/>
              </w:rPr>
              <w:t xml:space="preserve">GV.SC Cybersecurity Supply Chain Risk Management</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CPG-1.H</w:t>
            </w:r>
          </w:p>
        </w:tc>
        <w:tc>
          <w:tcPr>
            <w:tcW w:type="dxa" w:w="1300"/>
          </w:tcPr>
          <w:p>
            <w:pPr>
              <w:spacing w:after="120"/>
            </w:pPr>
            <w:r>
              <w:rPr>
                <w:sz w:val="14"/>
                <w:szCs w:val="14"/>
              </w:rPr>
              <w:t xml:space="preserve">CPG</w:t>
            </w:r>
          </w:p>
        </w:tc>
        <w:tc>
          <w:tcPr>
            <w:tcW w:type="dxa" w:w="3600"/>
          </w:tcPr>
          <w:p>
            <w:pPr>
              <w:spacing w:after="120"/>
            </w:pPr>
            <w:r>
              <w:rPr>
                <w:sz w:val="14"/>
                <w:szCs w:val="14"/>
              </w:rPr>
              <w:t xml:space="preserve">Supply Chain Vulnerability Disclosure</w:t>
            </w:r>
          </w:p>
        </w:tc>
        <w:tc>
          <w:tcPr>
            <w:tcW w:type="dxa" w:w="2600"/>
          </w:tcPr>
          <w:p>
            <w:pPr>
              <w:spacing w:after="120"/>
            </w:pPr>
            <w:r>
              <w:rPr>
                <w:sz w:val="14"/>
                <w:szCs w:val="14"/>
              </w:rPr>
              <w:t xml:space="preserve">GV.SC Cybersecurity Supply Chain Risk Management</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CPG-1.I</w:t>
            </w:r>
          </w:p>
        </w:tc>
        <w:tc>
          <w:tcPr>
            <w:tcW w:type="dxa" w:w="1300"/>
          </w:tcPr>
          <w:p>
            <w:pPr>
              <w:spacing w:after="120"/>
            </w:pPr>
            <w:r>
              <w:rPr>
                <w:sz w:val="14"/>
                <w:szCs w:val="14"/>
              </w:rPr>
              <w:t xml:space="preserve">CPG</w:t>
            </w:r>
          </w:p>
        </w:tc>
        <w:tc>
          <w:tcPr>
            <w:tcW w:type="dxa" w:w="3600"/>
          </w:tcPr>
          <w:p>
            <w:pPr>
              <w:spacing w:after="120"/>
            </w:pPr>
            <w:r>
              <w:rPr>
                <w:sz w:val="14"/>
                <w:szCs w:val="14"/>
              </w:rPr>
              <w:t xml:space="preserve">Vendor/Supplier Cybersecurity Requirements</w:t>
            </w:r>
          </w:p>
        </w:tc>
        <w:tc>
          <w:tcPr>
            <w:tcW w:type="dxa" w:w="2600"/>
          </w:tcPr>
          <w:p>
            <w:pPr>
              <w:spacing w:after="120"/>
            </w:pPr>
            <w:r>
              <w:rPr>
                <w:sz w:val="14"/>
                <w:szCs w:val="14"/>
              </w:rPr>
              <w:t xml:space="preserve">GV.SC Cybersecurity Supply Chain Risk Management</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CPG-2.A</w:t>
            </w:r>
          </w:p>
        </w:tc>
        <w:tc>
          <w:tcPr>
            <w:tcW w:type="dxa" w:w="1300"/>
          </w:tcPr>
          <w:p>
            <w:pPr>
              <w:spacing w:after="120"/>
            </w:pPr>
            <w:r>
              <w:rPr>
                <w:sz w:val="14"/>
                <w:szCs w:val="14"/>
              </w:rPr>
              <w:t xml:space="preserve">CPG</w:t>
            </w:r>
          </w:p>
        </w:tc>
        <w:tc>
          <w:tcPr>
            <w:tcW w:type="dxa" w:w="3600"/>
          </w:tcPr>
          <w:p>
            <w:pPr>
              <w:spacing w:after="120"/>
            </w:pPr>
            <w:r>
              <w:rPr>
                <w:sz w:val="14"/>
                <w:szCs w:val="14"/>
              </w:rPr>
              <w:t xml:space="preserve">Changing Default Passwords</w:t>
            </w:r>
          </w:p>
        </w:tc>
        <w:tc>
          <w:tcPr>
            <w:tcW w:type="dxa" w:w="2600"/>
          </w:tcPr>
          <w:p>
            <w:pPr>
              <w:spacing w:after="120"/>
            </w:pPr>
            <w:r>
              <w:rPr>
                <w:sz w:val="14"/>
                <w:szCs w:val="14"/>
              </w:rPr>
              <w:t xml:space="preserve">PR.AA Identity Management, Authentication, and Access Control</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CPG-2.B</w:t>
            </w:r>
          </w:p>
        </w:tc>
        <w:tc>
          <w:tcPr>
            <w:tcW w:type="dxa" w:w="1300"/>
          </w:tcPr>
          <w:p>
            <w:pPr>
              <w:spacing w:after="120"/>
            </w:pPr>
            <w:r>
              <w:rPr>
                <w:sz w:val="14"/>
                <w:szCs w:val="14"/>
              </w:rPr>
              <w:t xml:space="preserve">CPG</w:t>
            </w:r>
          </w:p>
        </w:tc>
        <w:tc>
          <w:tcPr>
            <w:tcW w:type="dxa" w:w="3600"/>
          </w:tcPr>
          <w:p>
            <w:pPr>
              <w:spacing w:after="120"/>
            </w:pPr>
            <w:r>
              <w:rPr>
                <w:sz w:val="14"/>
                <w:szCs w:val="14"/>
              </w:rPr>
              <w:t xml:space="preserve">Minimum Password Strength</w:t>
            </w:r>
          </w:p>
        </w:tc>
        <w:tc>
          <w:tcPr>
            <w:tcW w:type="dxa" w:w="2600"/>
          </w:tcPr>
          <w:p>
            <w:pPr>
              <w:spacing w:after="120"/>
            </w:pPr>
            <w:r>
              <w:rPr>
                <w:sz w:val="14"/>
                <w:szCs w:val="14"/>
              </w:rPr>
              <w:t xml:space="preserve">PR.AA Identity Management, Authentication, and Access Control</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CPG-2.C</w:t>
            </w:r>
          </w:p>
        </w:tc>
        <w:tc>
          <w:tcPr>
            <w:tcW w:type="dxa" w:w="1300"/>
          </w:tcPr>
          <w:p>
            <w:pPr>
              <w:spacing w:after="120"/>
            </w:pPr>
            <w:r>
              <w:rPr>
                <w:sz w:val="14"/>
                <w:szCs w:val="14"/>
              </w:rPr>
              <w:t xml:space="preserve">CPG</w:t>
            </w:r>
          </w:p>
        </w:tc>
        <w:tc>
          <w:tcPr>
            <w:tcW w:type="dxa" w:w="3600"/>
          </w:tcPr>
          <w:p>
            <w:pPr>
              <w:spacing w:after="120"/>
            </w:pPr>
            <w:r>
              <w:rPr>
                <w:sz w:val="14"/>
                <w:szCs w:val="14"/>
              </w:rPr>
              <w:t xml:space="preserve">Unique Credentials</w:t>
            </w:r>
          </w:p>
        </w:tc>
        <w:tc>
          <w:tcPr>
            <w:tcW w:type="dxa" w:w="2600"/>
          </w:tcPr>
          <w:p>
            <w:pPr>
              <w:spacing w:after="120"/>
            </w:pPr>
            <w:r>
              <w:rPr>
                <w:sz w:val="14"/>
                <w:szCs w:val="14"/>
              </w:rPr>
              <w:t xml:space="preserve">PR.AA Identity Management, Authentication, and Access Control</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CPG-2.D</w:t>
            </w:r>
          </w:p>
        </w:tc>
        <w:tc>
          <w:tcPr>
            <w:tcW w:type="dxa" w:w="1300"/>
          </w:tcPr>
          <w:p>
            <w:pPr>
              <w:spacing w:after="120"/>
            </w:pPr>
            <w:r>
              <w:rPr>
                <w:sz w:val="14"/>
                <w:szCs w:val="14"/>
              </w:rPr>
              <w:t xml:space="preserve">CPG</w:t>
            </w:r>
          </w:p>
        </w:tc>
        <w:tc>
          <w:tcPr>
            <w:tcW w:type="dxa" w:w="3600"/>
          </w:tcPr>
          <w:p>
            <w:pPr>
              <w:spacing w:after="120"/>
            </w:pPr>
            <w:r>
              <w:rPr>
                <w:sz w:val="14"/>
                <w:szCs w:val="14"/>
              </w:rPr>
              <w:t xml:space="preserve">Revoking Credentials for Departing Employees</w:t>
            </w:r>
          </w:p>
        </w:tc>
        <w:tc>
          <w:tcPr>
            <w:tcW w:type="dxa" w:w="2600"/>
          </w:tcPr>
          <w:p>
            <w:pPr>
              <w:spacing w:after="120"/>
            </w:pPr>
            <w:r>
              <w:rPr>
                <w:sz w:val="14"/>
                <w:szCs w:val="14"/>
              </w:rPr>
              <w:t xml:space="preserve">PR.AA Identity Management, Authentication, and Access Control</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CPG-2.E</w:t>
            </w:r>
          </w:p>
        </w:tc>
        <w:tc>
          <w:tcPr>
            <w:tcW w:type="dxa" w:w="1300"/>
          </w:tcPr>
          <w:p>
            <w:pPr>
              <w:spacing w:after="120"/>
            </w:pPr>
            <w:r>
              <w:rPr>
                <w:sz w:val="14"/>
                <w:szCs w:val="14"/>
              </w:rPr>
              <w:t xml:space="preserve">CPG</w:t>
            </w:r>
          </w:p>
        </w:tc>
        <w:tc>
          <w:tcPr>
            <w:tcW w:type="dxa" w:w="3600"/>
          </w:tcPr>
          <w:p>
            <w:pPr>
              <w:spacing w:after="120"/>
            </w:pPr>
            <w:r>
              <w:rPr>
                <w:sz w:val="14"/>
                <w:szCs w:val="14"/>
              </w:rPr>
              <w:t xml:space="preserve">Separating User and Privileged Accounts</w:t>
            </w:r>
          </w:p>
        </w:tc>
        <w:tc>
          <w:tcPr>
            <w:tcW w:type="dxa" w:w="2600"/>
          </w:tcPr>
          <w:p>
            <w:pPr>
              <w:spacing w:after="120"/>
            </w:pPr>
            <w:r>
              <w:rPr>
                <w:sz w:val="14"/>
                <w:szCs w:val="14"/>
              </w:rPr>
              <w:t xml:space="preserve">PR.AA Identity Management, Authentication, and Access Control</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CPG-2.F</w:t>
            </w:r>
          </w:p>
        </w:tc>
        <w:tc>
          <w:tcPr>
            <w:tcW w:type="dxa" w:w="1300"/>
          </w:tcPr>
          <w:p>
            <w:pPr>
              <w:spacing w:after="120"/>
            </w:pPr>
            <w:r>
              <w:rPr>
                <w:sz w:val="14"/>
                <w:szCs w:val="14"/>
              </w:rPr>
              <w:t xml:space="preserve">CPG</w:t>
            </w:r>
          </w:p>
        </w:tc>
        <w:tc>
          <w:tcPr>
            <w:tcW w:type="dxa" w:w="3600"/>
          </w:tcPr>
          <w:p>
            <w:pPr>
              <w:spacing w:after="120"/>
            </w:pPr>
            <w:r>
              <w:rPr>
                <w:sz w:val="14"/>
                <w:szCs w:val="14"/>
              </w:rPr>
              <w:t xml:space="preserve">Network Segmentation</w:t>
            </w:r>
          </w:p>
        </w:tc>
        <w:tc>
          <w:tcPr>
            <w:tcW w:type="dxa" w:w="2600"/>
          </w:tcPr>
          <w:p>
            <w:pPr>
              <w:spacing w:after="120"/>
            </w:pPr>
            <w:r>
              <w:rPr>
                <w:sz w:val="14"/>
                <w:szCs w:val="14"/>
              </w:rPr>
              <w:t xml:space="preserve">PR.IR Technology Infrastructure Resilience</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CPG-2.G</w:t>
            </w:r>
          </w:p>
        </w:tc>
        <w:tc>
          <w:tcPr>
            <w:tcW w:type="dxa" w:w="1300"/>
          </w:tcPr>
          <w:p>
            <w:pPr>
              <w:spacing w:after="120"/>
            </w:pPr>
            <w:r>
              <w:rPr>
                <w:sz w:val="14"/>
                <w:szCs w:val="14"/>
              </w:rPr>
              <w:t xml:space="preserve">CPG</w:t>
            </w:r>
          </w:p>
        </w:tc>
        <w:tc>
          <w:tcPr>
            <w:tcW w:type="dxa" w:w="3600"/>
          </w:tcPr>
          <w:p>
            <w:pPr>
              <w:spacing w:after="120"/>
            </w:pPr>
            <w:r>
              <w:rPr>
                <w:sz w:val="14"/>
                <w:szCs w:val="14"/>
              </w:rPr>
              <w:t xml:space="preserve">Detection of Unsuccessful (Automated) Login Attempts</w:t>
            </w:r>
          </w:p>
        </w:tc>
        <w:tc>
          <w:tcPr>
            <w:tcW w:type="dxa" w:w="2600"/>
          </w:tcPr>
          <w:p>
            <w:pPr>
              <w:spacing w:after="120"/>
            </w:pPr>
            <w:r>
              <w:rPr>
                <w:sz w:val="14"/>
                <w:szCs w:val="14"/>
              </w:rPr>
              <w:t xml:space="preserve">DE.CM Continuous Monitoring</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CPG-2.H</w:t>
            </w:r>
          </w:p>
        </w:tc>
        <w:tc>
          <w:tcPr>
            <w:tcW w:type="dxa" w:w="1300"/>
          </w:tcPr>
          <w:p>
            <w:pPr>
              <w:spacing w:after="120"/>
            </w:pPr>
            <w:r>
              <w:rPr>
                <w:sz w:val="14"/>
                <w:szCs w:val="14"/>
              </w:rPr>
              <w:t xml:space="preserve">CPG</w:t>
            </w:r>
          </w:p>
        </w:tc>
        <w:tc>
          <w:tcPr>
            <w:tcW w:type="dxa" w:w="3600"/>
          </w:tcPr>
          <w:p>
            <w:pPr>
              <w:spacing w:after="120"/>
            </w:pPr>
            <w:r>
              <w:rPr>
                <w:sz w:val="14"/>
                <w:szCs w:val="14"/>
              </w:rPr>
              <w:t xml:space="preserve">Phishing-Resistant Multifactor Authentication (MFA)</w:t>
            </w:r>
          </w:p>
        </w:tc>
        <w:tc>
          <w:tcPr>
            <w:tcW w:type="dxa" w:w="2600"/>
          </w:tcPr>
          <w:p>
            <w:pPr>
              <w:spacing w:after="120"/>
            </w:pPr>
            <w:r>
              <w:rPr>
                <w:sz w:val="14"/>
                <w:szCs w:val="14"/>
              </w:rPr>
              <w:t xml:space="preserve">PR.AA Identity Management, Authentication, and Access Control</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CPG-2.I</w:t>
            </w:r>
          </w:p>
        </w:tc>
        <w:tc>
          <w:tcPr>
            <w:tcW w:type="dxa" w:w="1300"/>
          </w:tcPr>
          <w:p>
            <w:pPr>
              <w:spacing w:after="120"/>
            </w:pPr>
            <w:r>
              <w:rPr>
                <w:sz w:val="14"/>
                <w:szCs w:val="14"/>
              </w:rPr>
              <w:t xml:space="preserve">CPG</w:t>
            </w:r>
          </w:p>
        </w:tc>
        <w:tc>
          <w:tcPr>
            <w:tcW w:type="dxa" w:w="3600"/>
          </w:tcPr>
          <w:p>
            <w:pPr>
              <w:spacing w:after="120"/>
            </w:pPr>
            <w:r>
              <w:rPr>
                <w:sz w:val="14"/>
                <w:szCs w:val="14"/>
              </w:rPr>
              <w:t xml:space="preserve">Basic Cybersecurity Training</w:t>
            </w:r>
          </w:p>
        </w:tc>
        <w:tc>
          <w:tcPr>
            <w:tcW w:type="dxa" w:w="2600"/>
          </w:tcPr>
          <w:p>
            <w:pPr>
              <w:spacing w:after="120"/>
            </w:pPr>
            <w:r>
              <w:rPr>
                <w:sz w:val="14"/>
                <w:szCs w:val="14"/>
              </w:rPr>
              <w:t xml:space="preserve">PR.AT Awareness and Training</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CPG-2.J</w:t>
            </w:r>
          </w:p>
        </w:tc>
        <w:tc>
          <w:tcPr>
            <w:tcW w:type="dxa" w:w="1300"/>
          </w:tcPr>
          <w:p>
            <w:pPr>
              <w:spacing w:after="120"/>
            </w:pPr>
            <w:r>
              <w:rPr>
                <w:sz w:val="14"/>
                <w:szCs w:val="14"/>
              </w:rPr>
              <w:t xml:space="preserve">CPG</w:t>
            </w:r>
          </w:p>
        </w:tc>
        <w:tc>
          <w:tcPr>
            <w:tcW w:type="dxa" w:w="3600"/>
          </w:tcPr>
          <w:p>
            <w:pPr>
              <w:spacing w:after="120"/>
            </w:pPr>
            <w:r>
              <w:rPr>
                <w:sz w:val="14"/>
                <w:szCs w:val="14"/>
              </w:rPr>
              <w:t xml:space="preserve">OT Cybersecurity Training</w:t>
            </w:r>
          </w:p>
        </w:tc>
        <w:tc>
          <w:tcPr>
            <w:tcW w:type="dxa" w:w="2600"/>
          </w:tcPr>
          <w:p>
            <w:pPr>
              <w:spacing w:after="120"/>
            </w:pPr>
            <w:r>
              <w:rPr>
                <w:sz w:val="14"/>
                <w:szCs w:val="14"/>
              </w:rPr>
              <w:t xml:space="preserve">PR.AT Awareness and Training</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CPG-2.K</w:t>
            </w:r>
          </w:p>
        </w:tc>
        <w:tc>
          <w:tcPr>
            <w:tcW w:type="dxa" w:w="1300"/>
          </w:tcPr>
          <w:p>
            <w:pPr>
              <w:spacing w:after="120"/>
            </w:pPr>
            <w:r>
              <w:rPr>
                <w:sz w:val="14"/>
                <w:szCs w:val="14"/>
              </w:rPr>
              <w:t xml:space="preserve">CPG</w:t>
            </w:r>
          </w:p>
        </w:tc>
        <w:tc>
          <w:tcPr>
            <w:tcW w:type="dxa" w:w="3600"/>
          </w:tcPr>
          <w:p>
            <w:pPr>
              <w:spacing w:after="120"/>
            </w:pPr>
            <w:r>
              <w:rPr>
                <w:sz w:val="14"/>
                <w:szCs w:val="14"/>
              </w:rPr>
              <w:t xml:space="preserve">Strong and Agile Encryption</w:t>
            </w:r>
          </w:p>
        </w:tc>
        <w:tc>
          <w:tcPr>
            <w:tcW w:type="dxa" w:w="2600"/>
          </w:tcPr>
          <w:p>
            <w:pPr>
              <w:spacing w:after="120"/>
            </w:pPr>
            <w:r>
              <w:rPr>
                <w:sz w:val="14"/>
                <w:szCs w:val="14"/>
              </w:rPr>
              <w:t xml:space="preserve">PR.DS Data Security</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CPG-2.L</w:t>
            </w:r>
          </w:p>
        </w:tc>
        <w:tc>
          <w:tcPr>
            <w:tcW w:type="dxa" w:w="1300"/>
          </w:tcPr>
          <w:p>
            <w:pPr>
              <w:spacing w:after="120"/>
            </w:pPr>
            <w:r>
              <w:rPr>
                <w:sz w:val="14"/>
                <w:szCs w:val="14"/>
              </w:rPr>
              <w:t xml:space="preserve">CPG</w:t>
            </w:r>
          </w:p>
        </w:tc>
        <w:tc>
          <w:tcPr>
            <w:tcW w:type="dxa" w:w="3600"/>
          </w:tcPr>
          <w:p>
            <w:pPr>
              <w:spacing w:after="120"/>
            </w:pPr>
            <w:r>
              <w:rPr>
                <w:sz w:val="14"/>
                <w:szCs w:val="14"/>
              </w:rPr>
              <w:t xml:space="preserve">Secure Sensitive Data</w:t>
            </w:r>
          </w:p>
        </w:tc>
        <w:tc>
          <w:tcPr>
            <w:tcW w:type="dxa" w:w="2600"/>
          </w:tcPr>
          <w:p>
            <w:pPr>
              <w:spacing w:after="120"/>
            </w:pPr>
            <w:r>
              <w:rPr>
                <w:sz w:val="14"/>
                <w:szCs w:val="14"/>
              </w:rPr>
              <w:t xml:space="preserve">PR.DS Data Security</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CPG-2.M</w:t>
            </w:r>
          </w:p>
        </w:tc>
        <w:tc>
          <w:tcPr>
            <w:tcW w:type="dxa" w:w="1300"/>
          </w:tcPr>
          <w:p>
            <w:pPr>
              <w:spacing w:after="120"/>
            </w:pPr>
            <w:r>
              <w:rPr>
                <w:sz w:val="14"/>
                <w:szCs w:val="14"/>
              </w:rPr>
              <w:t xml:space="preserve">CPG</w:t>
            </w:r>
          </w:p>
        </w:tc>
        <w:tc>
          <w:tcPr>
            <w:tcW w:type="dxa" w:w="3600"/>
          </w:tcPr>
          <w:p>
            <w:pPr>
              <w:spacing w:after="120"/>
            </w:pPr>
            <w:r>
              <w:rPr>
                <w:sz w:val="14"/>
                <w:szCs w:val="14"/>
              </w:rPr>
              <w:t xml:space="preserve">Email Security</w:t>
            </w:r>
          </w:p>
        </w:tc>
        <w:tc>
          <w:tcPr>
            <w:tcW w:type="dxa" w:w="2600"/>
          </w:tcPr>
          <w:p>
            <w:pPr>
              <w:spacing w:after="120"/>
            </w:pPr>
            <w:r>
              <w:rPr>
                <w:sz w:val="14"/>
                <w:szCs w:val="14"/>
              </w:rPr>
              <w:t xml:space="preserve">PR.PS Platform Security</w:t>
            </w:r>
          </w:p>
        </w:tc>
        <w:tc>
          <w:tcPr>
            <w:tcW w:type="dxa" w:w="1700"/>
          </w:tcPr>
          <w:p>
            <w:pPr>
              <w:spacing w:after="120"/>
            </w:pPr>
            <w:r>
              <w:rPr>
                <w:sz w:val="14"/>
                <w:szCs w:val="14"/>
              </w:rPr>
              <w:t xml:space="preserve">medium</w:t>
            </w:r>
          </w:p>
        </w:tc>
      </w:tr>
      <w:tr>
        <w:tc>
          <w:tcPr>
            <w:tcW w:type="dxa" w:w="1300"/>
          </w:tcPr>
          <w:p>
            <w:pPr>
              <w:spacing w:after="120"/>
            </w:pPr>
            <w:r>
              <w:rPr>
                <w:sz w:val="14"/>
                <w:szCs w:val="14"/>
              </w:rPr>
              <w:t xml:space="preserve">CPG-2.N</w:t>
            </w:r>
          </w:p>
        </w:tc>
        <w:tc>
          <w:tcPr>
            <w:tcW w:type="dxa" w:w="1300"/>
          </w:tcPr>
          <w:p>
            <w:pPr>
              <w:spacing w:after="120"/>
            </w:pPr>
            <w:r>
              <w:rPr>
                <w:sz w:val="14"/>
                <w:szCs w:val="14"/>
              </w:rPr>
              <w:t xml:space="preserve">CPG</w:t>
            </w:r>
          </w:p>
        </w:tc>
        <w:tc>
          <w:tcPr>
            <w:tcW w:type="dxa" w:w="3600"/>
          </w:tcPr>
          <w:p>
            <w:pPr>
              <w:spacing w:after="120"/>
            </w:pPr>
            <w:r>
              <w:rPr>
                <w:sz w:val="14"/>
                <w:szCs w:val="14"/>
              </w:rPr>
              <w:t xml:space="preserve">Disable Macros by Default</w:t>
            </w:r>
          </w:p>
        </w:tc>
        <w:tc>
          <w:tcPr>
            <w:tcW w:type="dxa" w:w="2600"/>
          </w:tcPr>
          <w:p>
            <w:pPr>
              <w:spacing w:after="120"/>
            </w:pPr>
            <w:r>
              <w:rPr>
                <w:sz w:val="14"/>
                <w:szCs w:val="14"/>
              </w:rPr>
              <w:t xml:space="preserve">PR.PS Platform Security</w:t>
            </w:r>
          </w:p>
        </w:tc>
        <w:tc>
          <w:tcPr>
            <w:tcW w:type="dxa" w:w="1700"/>
          </w:tcPr>
          <w:p>
            <w:pPr>
              <w:spacing w:after="120"/>
            </w:pPr>
            <w:r>
              <w:rPr>
                <w:sz w:val="14"/>
                <w:szCs w:val="14"/>
              </w:rPr>
              <w:t xml:space="preserve">medium</w:t>
            </w:r>
          </w:p>
        </w:tc>
      </w:tr>
      <w:tr>
        <w:tc>
          <w:tcPr>
            <w:tcW w:type="dxa" w:w="1300"/>
          </w:tcPr>
          <w:p>
            <w:pPr>
              <w:spacing w:after="120"/>
            </w:pPr>
            <w:r>
              <w:rPr>
                <w:sz w:val="14"/>
                <w:szCs w:val="14"/>
              </w:rPr>
              <w:t xml:space="preserve">CPG-2.O</w:t>
            </w:r>
          </w:p>
        </w:tc>
        <w:tc>
          <w:tcPr>
            <w:tcW w:type="dxa" w:w="1300"/>
          </w:tcPr>
          <w:p>
            <w:pPr>
              <w:spacing w:after="120"/>
            </w:pPr>
            <w:r>
              <w:rPr>
                <w:sz w:val="14"/>
                <w:szCs w:val="14"/>
              </w:rPr>
              <w:t xml:space="preserve">CPG</w:t>
            </w:r>
          </w:p>
        </w:tc>
        <w:tc>
          <w:tcPr>
            <w:tcW w:type="dxa" w:w="3600"/>
          </w:tcPr>
          <w:p>
            <w:pPr>
              <w:spacing w:after="120"/>
            </w:pPr>
            <w:r>
              <w:rPr>
                <w:sz w:val="14"/>
                <w:szCs w:val="14"/>
              </w:rPr>
              <w:t xml:space="preserve">Document Device Configurations</w:t>
            </w:r>
          </w:p>
        </w:tc>
        <w:tc>
          <w:tcPr>
            <w:tcW w:type="dxa" w:w="2600"/>
          </w:tcPr>
          <w:p>
            <w:pPr>
              <w:spacing w:after="120"/>
            </w:pPr>
            <w:r>
              <w:rPr>
                <w:sz w:val="14"/>
                <w:szCs w:val="14"/>
              </w:rPr>
              <w:t xml:space="preserve">ID.AM Asset Management</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CPG-2.P</w:t>
            </w:r>
          </w:p>
        </w:tc>
        <w:tc>
          <w:tcPr>
            <w:tcW w:type="dxa" w:w="1300"/>
          </w:tcPr>
          <w:p>
            <w:pPr>
              <w:spacing w:after="120"/>
            </w:pPr>
            <w:r>
              <w:rPr>
                <w:sz w:val="14"/>
                <w:szCs w:val="14"/>
              </w:rPr>
              <w:t xml:space="preserve">CPG</w:t>
            </w:r>
          </w:p>
        </w:tc>
        <w:tc>
          <w:tcPr>
            <w:tcW w:type="dxa" w:w="3600"/>
          </w:tcPr>
          <w:p>
            <w:pPr>
              <w:spacing w:after="120"/>
            </w:pPr>
            <w:r>
              <w:rPr>
                <w:sz w:val="14"/>
                <w:szCs w:val="14"/>
              </w:rPr>
              <w:t xml:space="preserve">Document Network Topology</w:t>
            </w:r>
          </w:p>
        </w:tc>
        <w:tc>
          <w:tcPr>
            <w:tcW w:type="dxa" w:w="2600"/>
          </w:tcPr>
          <w:p>
            <w:pPr>
              <w:spacing w:after="120"/>
            </w:pPr>
            <w:r>
              <w:rPr>
                <w:sz w:val="14"/>
                <w:szCs w:val="14"/>
              </w:rPr>
              <w:t xml:space="preserve">ID.AM Asset Management</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CPG-2.Q</w:t>
            </w:r>
          </w:p>
        </w:tc>
        <w:tc>
          <w:tcPr>
            <w:tcW w:type="dxa" w:w="1300"/>
          </w:tcPr>
          <w:p>
            <w:pPr>
              <w:spacing w:after="120"/>
            </w:pPr>
            <w:r>
              <w:rPr>
                <w:sz w:val="14"/>
                <w:szCs w:val="14"/>
              </w:rPr>
              <w:t xml:space="preserve">CPG</w:t>
            </w:r>
          </w:p>
        </w:tc>
        <w:tc>
          <w:tcPr>
            <w:tcW w:type="dxa" w:w="3600"/>
          </w:tcPr>
          <w:p>
            <w:pPr>
              <w:spacing w:after="120"/>
            </w:pPr>
            <w:r>
              <w:rPr>
                <w:sz w:val="14"/>
                <w:szCs w:val="14"/>
              </w:rPr>
              <w:t xml:space="preserve">Hardware and Software Approval Process</w:t>
            </w:r>
          </w:p>
        </w:tc>
        <w:tc>
          <w:tcPr>
            <w:tcW w:type="dxa" w:w="2600"/>
          </w:tcPr>
          <w:p>
            <w:pPr>
              <w:spacing w:after="120"/>
            </w:pPr>
            <w:r>
              <w:rPr>
                <w:sz w:val="14"/>
                <w:szCs w:val="14"/>
              </w:rPr>
              <w:t xml:space="preserve">PR.PS Platform Security</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CPG-2.R</w:t>
            </w:r>
          </w:p>
        </w:tc>
        <w:tc>
          <w:tcPr>
            <w:tcW w:type="dxa" w:w="1300"/>
          </w:tcPr>
          <w:p>
            <w:pPr>
              <w:spacing w:after="120"/>
            </w:pPr>
            <w:r>
              <w:rPr>
                <w:sz w:val="14"/>
                <w:szCs w:val="14"/>
              </w:rPr>
              <w:t xml:space="preserve">CPG</w:t>
            </w:r>
          </w:p>
        </w:tc>
        <w:tc>
          <w:tcPr>
            <w:tcW w:type="dxa" w:w="3600"/>
          </w:tcPr>
          <w:p>
            <w:pPr>
              <w:spacing w:after="120"/>
            </w:pPr>
            <w:r>
              <w:rPr>
                <w:sz w:val="14"/>
                <w:szCs w:val="14"/>
              </w:rPr>
              <w:t xml:space="preserve">System Backups</w:t>
            </w:r>
          </w:p>
        </w:tc>
        <w:tc>
          <w:tcPr>
            <w:tcW w:type="dxa" w:w="2600"/>
          </w:tcPr>
          <w:p>
            <w:pPr>
              <w:spacing w:after="120"/>
            </w:pPr>
            <w:r>
              <w:rPr>
                <w:sz w:val="14"/>
                <w:szCs w:val="14"/>
              </w:rPr>
              <w:t xml:space="preserve">PR.DS Data Security</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CPG-2.S</w:t>
            </w:r>
          </w:p>
        </w:tc>
        <w:tc>
          <w:tcPr>
            <w:tcW w:type="dxa" w:w="1300"/>
          </w:tcPr>
          <w:p>
            <w:pPr>
              <w:spacing w:after="120"/>
            </w:pPr>
            <w:r>
              <w:rPr>
                <w:sz w:val="14"/>
                <w:szCs w:val="14"/>
              </w:rPr>
              <w:t xml:space="preserve">CPG</w:t>
            </w:r>
          </w:p>
        </w:tc>
        <w:tc>
          <w:tcPr>
            <w:tcW w:type="dxa" w:w="3600"/>
          </w:tcPr>
          <w:p>
            <w:pPr>
              <w:spacing w:after="120"/>
            </w:pPr>
            <w:r>
              <w:rPr>
                <w:sz w:val="14"/>
                <w:szCs w:val="14"/>
              </w:rPr>
              <w:t xml:space="preserve">Incident Response (IR) Plans</w:t>
            </w:r>
          </w:p>
        </w:tc>
        <w:tc>
          <w:tcPr>
            <w:tcW w:type="dxa" w:w="2600"/>
          </w:tcPr>
          <w:p>
            <w:pPr>
              <w:spacing w:after="120"/>
            </w:pPr>
            <w:r>
              <w:rPr>
                <w:sz w:val="14"/>
                <w:szCs w:val="14"/>
              </w:rPr>
              <w:t xml:space="preserve">RS.MA Incident Management</w:t>
            </w:r>
          </w:p>
        </w:tc>
        <w:tc>
          <w:tcPr>
            <w:tcW w:type="dxa" w:w="1700"/>
          </w:tcPr>
          <w:p>
            <w:pPr>
              <w:spacing w:after="120"/>
            </w:pPr>
            <w:r>
              <w:rPr>
                <w:sz w:val="14"/>
                <w:szCs w:val="14"/>
              </w:rPr>
              <w:t xml:space="preserve">medium</w:t>
            </w:r>
          </w:p>
        </w:tc>
      </w:tr>
      <w:tr>
        <w:tc>
          <w:tcPr>
            <w:tcW w:type="dxa" w:w="1300"/>
          </w:tcPr>
          <w:p>
            <w:pPr>
              <w:spacing w:after="120"/>
            </w:pPr>
            <w:r>
              <w:rPr>
                <w:sz w:val="14"/>
                <w:szCs w:val="14"/>
              </w:rPr>
              <w:t xml:space="preserve">CPG-2.T</w:t>
            </w:r>
          </w:p>
        </w:tc>
        <w:tc>
          <w:tcPr>
            <w:tcW w:type="dxa" w:w="1300"/>
          </w:tcPr>
          <w:p>
            <w:pPr>
              <w:spacing w:after="120"/>
            </w:pPr>
            <w:r>
              <w:rPr>
                <w:sz w:val="14"/>
                <w:szCs w:val="14"/>
              </w:rPr>
              <w:t xml:space="preserve">CPG</w:t>
            </w:r>
          </w:p>
        </w:tc>
        <w:tc>
          <w:tcPr>
            <w:tcW w:type="dxa" w:w="3600"/>
          </w:tcPr>
          <w:p>
            <w:pPr>
              <w:spacing w:after="120"/>
            </w:pPr>
            <w:r>
              <w:rPr>
                <w:sz w:val="14"/>
                <w:szCs w:val="14"/>
              </w:rPr>
              <w:t xml:space="preserve">Log Collection</w:t>
            </w:r>
          </w:p>
        </w:tc>
        <w:tc>
          <w:tcPr>
            <w:tcW w:type="dxa" w:w="2600"/>
          </w:tcPr>
          <w:p>
            <w:pPr>
              <w:spacing w:after="120"/>
            </w:pPr>
            <w:r>
              <w:rPr>
                <w:sz w:val="14"/>
                <w:szCs w:val="14"/>
              </w:rPr>
              <w:t xml:space="preserve">DE.CM Continuous Monitoring</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CPG-2.U</w:t>
            </w:r>
          </w:p>
        </w:tc>
        <w:tc>
          <w:tcPr>
            <w:tcW w:type="dxa" w:w="1300"/>
          </w:tcPr>
          <w:p>
            <w:pPr>
              <w:spacing w:after="120"/>
            </w:pPr>
            <w:r>
              <w:rPr>
                <w:sz w:val="14"/>
                <w:szCs w:val="14"/>
              </w:rPr>
              <w:t xml:space="preserve">CPG</w:t>
            </w:r>
          </w:p>
        </w:tc>
        <w:tc>
          <w:tcPr>
            <w:tcW w:type="dxa" w:w="3600"/>
          </w:tcPr>
          <w:p>
            <w:pPr>
              <w:spacing w:after="120"/>
            </w:pPr>
            <w:r>
              <w:rPr>
                <w:sz w:val="14"/>
                <w:szCs w:val="14"/>
              </w:rPr>
              <w:t xml:space="preserve">Secure Log Storage</w:t>
            </w:r>
          </w:p>
        </w:tc>
        <w:tc>
          <w:tcPr>
            <w:tcW w:type="dxa" w:w="2600"/>
          </w:tcPr>
          <w:p>
            <w:pPr>
              <w:spacing w:after="120"/>
            </w:pPr>
            <w:r>
              <w:rPr>
                <w:sz w:val="14"/>
                <w:szCs w:val="14"/>
              </w:rPr>
              <w:t xml:space="preserve">PR.DS Data Security</w:t>
            </w:r>
          </w:p>
        </w:tc>
        <w:tc>
          <w:tcPr>
            <w:tcW w:type="dxa" w:w="1700"/>
          </w:tcPr>
          <w:p>
            <w:pPr>
              <w:spacing w:after="120"/>
            </w:pPr>
            <w:r>
              <w:rPr>
                <w:sz w:val="14"/>
                <w:szCs w:val="14"/>
              </w:rPr>
              <w:t xml:space="preserve">medium</w:t>
            </w:r>
          </w:p>
        </w:tc>
      </w:tr>
      <w:tr>
        <w:tc>
          <w:tcPr>
            <w:tcW w:type="dxa" w:w="1300"/>
          </w:tcPr>
          <w:p>
            <w:pPr>
              <w:spacing w:after="120"/>
            </w:pPr>
            <w:r>
              <w:rPr>
                <w:sz w:val="14"/>
                <w:szCs w:val="14"/>
              </w:rPr>
              <w:t xml:space="preserve">CPG-2.V</w:t>
            </w:r>
          </w:p>
        </w:tc>
        <w:tc>
          <w:tcPr>
            <w:tcW w:type="dxa" w:w="1300"/>
          </w:tcPr>
          <w:p>
            <w:pPr>
              <w:spacing w:after="120"/>
            </w:pPr>
            <w:r>
              <w:rPr>
                <w:sz w:val="14"/>
                <w:szCs w:val="14"/>
              </w:rPr>
              <w:t xml:space="preserve">CPG</w:t>
            </w:r>
          </w:p>
        </w:tc>
        <w:tc>
          <w:tcPr>
            <w:tcW w:type="dxa" w:w="3600"/>
          </w:tcPr>
          <w:p>
            <w:pPr>
              <w:spacing w:after="120"/>
            </w:pPr>
            <w:r>
              <w:rPr>
                <w:sz w:val="14"/>
                <w:szCs w:val="14"/>
              </w:rPr>
              <w:t xml:space="preserve">Prohibit Connection of Unauthorized Devices</w:t>
            </w:r>
          </w:p>
        </w:tc>
        <w:tc>
          <w:tcPr>
            <w:tcW w:type="dxa" w:w="2600"/>
          </w:tcPr>
          <w:p>
            <w:pPr>
              <w:spacing w:after="120"/>
            </w:pPr>
            <w:r>
              <w:rPr>
                <w:sz w:val="14"/>
                <w:szCs w:val="14"/>
              </w:rPr>
              <w:t xml:space="preserve">PR.PS Platform Security</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CPG-2.W</w:t>
            </w:r>
          </w:p>
        </w:tc>
        <w:tc>
          <w:tcPr>
            <w:tcW w:type="dxa" w:w="1300"/>
          </w:tcPr>
          <w:p>
            <w:pPr>
              <w:spacing w:after="120"/>
            </w:pPr>
            <w:r>
              <w:rPr>
                <w:sz w:val="14"/>
                <w:szCs w:val="14"/>
              </w:rPr>
              <w:t xml:space="preserve">CPG</w:t>
            </w:r>
          </w:p>
        </w:tc>
        <w:tc>
          <w:tcPr>
            <w:tcW w:type="dxa" w:w="3600"/>
          </w:tcPr>
          <w:p>
            <w:pPr>
              <w:spacing w:after="120"/>
            </w:pPr>
            <w:r>
              <w:rPr>
                <w:sz w:val="14"/>
                <w:szCs w:val="14"/>
              </w:rPr>
              <w:t xml:space="preserve">No Exploitable Services on the Internet</w:t>
            </w:r>
          </w:p>
        </w:tc>
        <w:tc>
          <w:tcPr>
            <w:tcW w:type="dxa" w:w="2600"/>
          </w:tcPr>
          <w:p>
            <w:pPr>
              <w:spacing w:after="120"/>
            </w:pPr>
            <w:r>
              <w:rPr>
                <w:sz w:val="14"/>
                <w:szCs w:val="14"/>
              </w:rPr>
              <w:t xml:space="preserve">PR.PS Platform Security</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CPG-2.X</w:t>
            </w:r>
          </w:p>
        </w:tc>
        <w:tc>
          <w:tcPr>
            <w:tcW w:type="dxa" w:w="1300"/>
          </w:tcPr>
          <w:p>
            <w:pPr>
              <w:spacing w:after="120"/>
            </w:pPr>
            <w:r>
              <w:rPr>
                <w:sz w:val="14"/>
                <w:szCs w:val="14"/>
              </w:rPr>
              <w:t xml:space="preserve">CPG</w:t>
            </w:r>
          </w:p>
        </w:tc>
        <w:tc>
          <w:tcPr>
            <w:tcW w:type="dxa" w:w="3600"/>
          </w:tcPr>
          <w:p>
            <w:pPr>
              <w:spacing w:after="120"/>
            </w:pPr>
            <w:r>
              <w:rPr>
                <w:sz w:val="14"/>
                <w:szCs w:val="14"/>
              </w:rPr>
              <w:t xml:space="preserve">Limit OT Connections to Public Internet</w:t>
            </w:r>
          </w:p>
        </w:tc>
        <w:tc>
          <w:tcPr>
            <w:tcW w:type="dxa" w:w="2600"/>
          </w:tcPr>
          <w:p>
            <w:pPr>
              <w:spacing w:after="120"/>
            </w:pPr>
            <w:r>
              <w:rPr>
                <w:sz w:val="14"/>
                <w:szCs w:val="14"/>
              </w:rPr>
              <w:t xml:space="preserve">PR.IR Technology Infrastructure Resilience</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CPG-3.A</w:t>
            </w:r>
          </w:p>
        </w:tc>
        <w:tc>
          <w:tcPr>
            <w:tcW w:type="dxa" w:w="1300"/>
          </w:tcPr>
          <w:p>
            <w:pPr>
              <w:spacing w:after="120"/>
            </w:pPr>
            <w:r>
              <w:rPr>
                <w:sz w:val="14"/>
                <w:szCs w:val="14"/>
              </w:rPr>
              <w:t xml:space="preserve">CPG</w:t>
            </w:r>
          </w:p>
        </w:tc>
        <w:tc>
          <w:tcPr>
            <w:tcW w:type="dxa" w:w="3600"/>
          </w:tcPr>
          <w:p>
            <w:pPr>
              <w:spacing w:after="120"/>
            </w:pPr>
            <w:r>
              <w:rPr>
                <w:sz w:val="14"/>
                <w:szCs w:val="14"/>
              </w:rPr>
              <w:t xml:space="preserve">Detecting Relevant Threats and TTPs</w:t>
            </w:r>
          </w:p>
        </w:tc>
        <w:tc>
          <w:tcPr>
            <w:tcW w:type="dxa" w:w="2600"/>
          </w:tcPr>
          <w:p>
            <w:pPr>
              <w:spacing w:after="120"/>
            </w:pPr>
            <w:r>
              <w:rPr>
                <w:sz w:val="14"/>
                <w:szCs w:val="14"/>
              </w:rPr>
              <w:t xml:space="preserve">DE.CM Continuous Monitoring</w:t>
            </w:r>
          </w:p>
        </w:tc>
        <w:tc>
          <w:tcPr>
            <w:tcW w:type="dxa" w:w="1700"/>
          </w:tcPr>
          <w:p>
            <w:pPr>
              <w:spacing w:after="120"/>
            </w:pPr>
            <w:r>
              <w:rPr>
                <w:sz w:val="14"/>
                <w:szCs w:val="14"/>
              </w:rPr>
              <w:t xml:space="preserve">medium</w:t>
            </w:r>
          </w:p>
        </w:tc>
      </w:tr>
      <w:tr>
        <w:tc>
          <w:tcPr>
            <w:tcW w:type="dxa" w:w="1300"/>
          </w:tcPr>
          <w:p>
            <w:pPr>
              <w:spacing w:after="120"/>
            </w:pPr>
            <w:r>
              <w:rPr>
                <w:sz w:val="14"/>
                <w:szCs w:val="14"/>
              </w:rPr>
              <w:t xml:space="preserve">CPG-4.A</w:t>
            </w:r>
          </w:p>
        </w:tc>
        <w:tc>
          <w:tcPr>
            <w:tcW w:type="dxa" w:w="1300"/>
          </w:tcPr>
          <w:p>
            <w:pPr>
              <w:spacing w:after="120"/>
            </w:pPr>
            <w:r>
              <w:rPr>
                <w:sz w:val="14"/>
                <w:szCs w:val="14"/>
              </w:rPr>
              <w:t xml:space="preserve">CPG</w:t>
            </w:r>
          </w:p>
        </w:tc>
        <w:tc>
          <w:tcPr>
            <w:tcW w:type="dxa" w:w="3600"/>
          </w:tcPr>
          <w:p>
            <w:pPr>
              <w:spacing w:after="120"/>
            </w:pPr>
            <w:r>
              <w:rPr>
                <w:sz w:val="14"/>
                <w:szCs w:val="14"/>
              </w:rPr>
              <w:t xml:space="preserve">Incident Reporting</w:t>
            </w:r>
          </w:p>
        </w:tc>
        <w:tc>
          <w:tcPr>
            <w:tcW w:type="dxa" w:w="2600"/>
          </w:tcPr>
          <w:p>
            <w:pPr>
              <w:spacing w:after="120"/>
            </w:pPr>
            <w:r>
              <w:rPr>
                <w:sz w:val="14"/>
                <w:szCs w:val="14"/>
              </w:rPr>
              <w:t xml:space="preserve">RS.CO Incident Response Reporting and Communication</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CPG-4.B</w:t>
            </w:r>
          </w:p>
        </w:tc>
        <w:tc>
          <w:tcPr>
            <w:tcW w:type="dxa" w:w="1300"/>
          </w:tcPr>
          <w:p>
            <w:pPr>
              <w:spacing w:after="120"/>
            </w:pPr>
            <w:r>
              <w:rPr>
                <w:sz w:val="14"/>
                <w:szCs w:val="14"/>
              </w:rPr>
              <w:t xml:space="preserve">CPG</w:t>
            </w:r>
          </w:p>
        </w:tc>
        <w:tc>
          <w:tcPr>
            <w:tcW w:type="dxa" w:w="3600"/>
          </w:tcPr>
          <w:p>
            <w:pPr>
              <w:spacing w:after="120"/>
            </w:pPr>
            <w:r>
              <w:rPr>
                <w:sz w:val="14"/>
                <w:szCs w:val="14"/>
              </w:rPr>
              <w:t xml:space="preserve">Vulnerability Disclosure/Reporting</w:t>
            </w:r>
          </w:p>
        </w:tc>
        <w:tc>
          <w:tcPr>
            <w:tcW w:type="dxa" w:w="2600"/>
          </w:tcPr>
          <w:p>
            <w:pPr>
              <w:spacing w:after="120"/>
            </w:pPr>
            <w:r>
              <w:rPr>
                <w:sz w:val="14"/>
                <w:szCs w:val="14"/>
              </w:rPr>
              <w:t xml:space="preserve">ID.RA Risk Assessment</w:t>
            </w:r>
          </w:p>
        </w:tc>
        <w:tc>
          <w:tcPr>
            <w:tcW w:type="dxa" w:w="1700"/>
          </w:tcPr>
          <w:p>
            <w:pPr>
              <w:spacing w:after="120"/>
            </w:pPr>
            <w:r>
              <w:rPr>
                <w:sz w:val="14"/>
                <w:szCs w:val="14"/>
              </w:rPr>
              <w:t xml:space="preserve">medium</w:t>
            </w:r>
          </w:p>
        </w:tc>
      </w:tr>
      <w:tr>
        <w:tc>
          <w:tcPr>
            <w:tcW w:type="dxa" w:w="1300"/>
          </w:tcPr>
          <w:p>
            <w:pPr>
              <w:spacing w:after="120"/>
            </w:pPr>
            <w:r>
              <w:rPr>
                <w:sz w:val="14"/>
                <w:szCs w:val="14"/>
              </w:rPr>
              <w:t xml:space="preserve">CPG-4.C</w:t>
            </w:r>
          </w:p>
        </w:tc>
        <w:tc>
          <w:tcPr>
            <w:tcW w:type="dxa" w:w="1300"/>
          </w:tcPr>
          <w:p>
            <w:pPr>
              <w:spacing w:after="120"/>
            </w:pPr>
            <w:r>
              <w:rPr>
                <w:sz w:val="14"/>
                <w:szCs w:val="14"/>
              </w:rPr>
              <w:t xml:space="preserve">CPG</w:t>
            </w:r>
          </w:p>
        </w:tc>
        <w:tc>
          <w:tcPr>
            <w:tcW w:type="dxa" w:w="3600"/>
          </w:tcPr>
          <w:p>
            <w:pPr>
              <w:spacing w:after="120"/>
            </w:pPr>
            <w:r>
              <w:rPr>
                <w:sz w:val="14"/>
                <w:szCs w:val="14"/>
              </w:rPr>
              <w:t xml:space="preserve">Deploy Security.TXT Files</w:t>
            </w:r>
          </w:p>
        </w:tc>
        <w:tc>
          <w:tcPr>
            <w:tcW w:type="dxa" w:w="2600"/>
          </w:tcPr>
          <w:p>
            <w:pPr>
              <w:spacing w:after="120"/>
            </w:pPr>
            <w:r>
              <w:rPr>
                <w:sz w:val="14"/>
                <w:szCs w:val="14"/>
              </w:rPr>
              <w:t xml:space="preserve">RS.CO Incident Response Reporting and Communication</w:t>
            </w:r>
          </w:p>
        </w:tc>
        <w:tc>
          <w:tcPr>
            <w:tcW w:type="dxa" w:w="1700"/>
          </w:tcPr>
          <w:p>
            <w:pPr>
              <w:spacing w:after="120"/>
            </w:pPr>
            <w:r>
              <w:rPr>
                <w:sz w:val="14"/>
                <w:szCs w:val="14"/>
              </w:rPr>
              <w:t xml:space="preserve">medium</w:t>
            </w:r>
          </w:p>
        </w:tc>
      </w:tr>
      <w:tr>
        <w:tc>
          <w:tcPr>
            <w:tcW w:type="dxa" w:w="1300"/>
          </w:tcPr>
          <w:p>
            <w:pPr>
              <w:spacing w:after="120"/>
            </w:pPr>
            <w:r>
              <w:rPr>
                <w:sz w:val="14"/>
                <w:szCs w:val="14"/>
              </w:rPr>
              <w:t xml:space="preserve">CPG-5.A</w:t>
            </w:r>
          </w:p>
        </w:tc>
        <w:tc>
          <w:tcPr>
            <w:tcW w:type="dxa" w:w="1300"/>
          </w:tcPr>
          <w:p>
            <w:pPr>
              <w:spacing w:after="120"/>
            </w:pPr>
            <w:r>
              <w:rPr>
                <w:sz w:val="14"/>
                <w:szCs w:val="14"/>
              </w:rPr>
              <w:t xml:space="preserve">CPG</w:t>
            </w:r>
          </w:p>
        </w:tc>
        <w:tc>
          <w:tcPr>
            <w:tcW w:type="dxa" w:w="3600"/>
          </w:tcPr>
          <w:p>
            <w:pPr>
              <w:spacing w:after="120"/>
            </w:pPr>
            <w:r>
              <w:rPr>
                <w:sz w:val="14"/>
                <w:szCs w:val="14"/>
              </w:rPr>
              <w:t xml:space="preserve">Incident Planning and Preparedness</w:t>
            </w:r>
          </w:p>
        </w:tc>
        <w:tc>
          <w:tcPr>
            <w:tcW w:type="dxa" w:w="2600"/>
          </w:tcPr>
          <w:p>
            <w:pPr>
              <w:spacing w:after="120"/>
            </w:pPr>
            <w:r>
              <w:rPr>
                <w:sz w:val="14"/>
                <w:szCs w:val="14"/>
              </w:rPr>
              <w:t xml:space="preserve">RC.RP Incident Recovery Plan Execution</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CPG-GOV-NEW</w:t>
            </w:r>
          </w:p>
        </w:tc>
        <w:tc>
          <w:tcPr>
            <w:tcW w:type="dxa" w:w="1300"/>
          </w:tcPr>
          <w:p>
            <w:pPr>
              <w:spacing w:after="120"/>
            </w:pPr>
            <w:r>
              <w:rPr>
                <w:sz w:val="14"/>
                <w:szCs w:val="14"/>
              </w:rPr>
              <w:t xml:space="preserve">CPG</w:t>
            </w:r>
          </w:p>
        </w:tc>
        <w:tc>
          <w:tcPr>
            <w:tcW w:type="dxa" w:w="3600"/>
          </w:tcPr>
          <w:p>
            <w:pPr>
              <w:spacing w:after="120"/>
            </w:pPr>
            <w:r>
              <w:rPr>
                <w:sz w:val="14"/>
                <w:szCs w:val="14"/>
              </w:rPr>
              <w:t xml:space="preserve">CPG 2.0 new Govern-function goals (leadership accountability, oversight, risk-management integration)</w:t>
            </w:r>
          </w:p>
        </w:tc>
        <w:tc>
          <w:tcPr>
            <w:tcW w:type="dxa" w:w="2600"/>
          </w:tcPr>
          <w:p>
            <w:pPr>
              <w:spacing w:after="120"/>
            </w:pPr>
            <w:r>
              <w:rPr>
                <w:sz w:val="14"/>
                <w:szCs w:val="14"/>
              </w:rPr>
              <w:t xml:space="preserve">GV.OV Oversight</w:t>
            </w:r>
          </w:p>
        </w:tc>
        <w:tc>
          <w:tcPr>
            <w:tcW w:type="dxa" w:w="1700"/>
          </w:tcPr>
          <w:p>
            <w:pPr>
              <w:spacing w:after="120"/>
            </w:pPr>
            <w:r>
              <w:rPr>
                <w:sz w:val="14"/>
                <w:szCs w:val="14"/>
              </w:rPr>
              <w:t xml:space="preserve">LOW</w:t>
            </w:r>
          </w:p>
        </w:tc>
      </w:tr>
      <w:tr>
        <w:tc>
          <w:tcPr>
            <w:tcW w:type="dxa" w:w="1300"/>
          </w:tcPr>
          <w:p>
            <w:pPr>
              <w:spacing w:after="120"/>
            </w:pPr>
            <w:r>
              <w:rPr>
                <w:sz w:val="14"/>
                <w:szCs w:val="14"/>
              </w:rPr>
              <w:t xml:space="preserve">CPG-3P-NEW</w:t>
            </w:r>
          </w:p>
        </w:tc>
        <w:tc>
          <w:tcPr>
            <w:tcW w:type="dxa" w:w="1300"/>
          </w:tcPr>
          <w:p>
            <w:pPr>
              <w:spacing w:after="120"/>
            </w:pPr>
            <w:r>
              <w:rPr>
                <w:sz w:val="14"/>
                <w:szCs w:val="14"/>
              </w:rPr>
              <w:t xml:space="preserve">CPG</w:t>
            </w:r>
          </w:p>
        </w:tc>
        <w:tc>
          <w:tcPr>
            <w:tcW w:type="dxa" w:w="3600"/>
          </w:tcPr>
          <w:p>
            <w:pPr>
              <w:spacing w:after="120"/>
            </w:pPr>
            <w:r>
              <w:rPr>
                <w:sz w:val="14"/>
                <w:szCs w:val="14"/>
              </w:rPr>
              <w:t xml:space="preserve">CPG 2.0 new third-party/zero-trust goals (~4 goals per secondary reporting)</w:t>
            </w:r>
          </w:p>
        </w:tc>
        <w:tc>
          <w:tcPr>
            <w:tcW w:type="dxa" w:w="2600"/>
          </w:tcPr>
          <w:p>
            <w:pPr>
              <w:spacing w:after="120"/>
            </w:pPr>
            <w:r>
              <w:rPr>
                <w:sz w:val="14"/>
                <w:szCs w:val="14"/>
              </w:rPr>
              <w:t xml:space="preserve">GV.SC Cybersecurity Supply Chain Risk Management</w:t>
            </w:r>
          </w:p>
        </w:tc>
        <w:tc>
          <w:tcPr>
            <w:tcW w:type="dxa" w:w="1700"/>
          </w:tcPr>
          <w:p>
            <w:pPr>
              <w:spacing w:after="120"/>
            </w:pPr>
            <w:r>
              <w:rPr>
                <w:sz w:val="14"/>
                <w:szCs w:val="14"/>
              </w:rPr>
              <w:t xml:space="preserve">LOW</w:t>
            </w:r>
          </w:p>
        </w:tc>
      </w:tr>
      <w:tr>
        <w:tc>
          <w:tcPr>
            <w:tcW w:type="dxa" w:w="1300"/>
          </w:tcPr>
          <w:p>
            <w:pPr>
              <w:spacing w:after="120"/>
            </w:pPr>
            <w:r>
              <w:rPr>
                <w:sz w:val="14"/>
                <w:szCs w:val="14"/>
              </w:rPr>
              <w:t xml:space="preserve">CIP-002</w:t>
            </w:r>
          </w:p>
        </w:tc>
        <w:tc>
          <w:tcPr>
            <w:tcW w:type="dxa" w:w="1300"/>
          </w:tcPr>
          <w:p>
            <w:pPr>
              <w:spacing w:after="120"/>
            </w:pPr>
            <w:r>
              <w:rPr>
                <w:sz w:val="14"/>
                <w:szCs w:val="14"/>
              </w:rPr>
              <w:t xml:space="preserve">NERC CIP</w:t>
            </w:r>
          </w:p>
        </w:tc>
        <w:tc>
          <w:tcPr>
            <w:tcW w:type="dxa" w:w="3600"/>
          </w:tcPr>
          <w:p>
            <w:pPr>
              <w:spacing w:after="120"/>
            </w:pPr>
            <w:r>
              <w:rPr>
                <w:sz w:val="14"/>
                <w:szCs w:val="14"/>
              </w:rPr>
              <w:t xml:space="preserve">BES Cyber System Categorization</w:t>
            </w:r>
          </w:p>
        </w:tc>
        <w:tc>
          <w:tcPr>
            <w:tcW w:type="dxa" w:w="2600"/>
          </w:tcPr>
          <w:p>
            <w:pPr>
              <w:spacing w:after="120"/>
            </w:pPr>
            <w:r>
              <w:rPr>
                <w:sz w:val="14"/>
                <w:szCs w:val="14"/>
              </w:rPr>
              <w:t xml:space="preserve">ID.AM Asset Management</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CIP-003</w:t>
            </w:r>
          </w:p>
        </w:tc>
        <w:tc>
          <w:tcPr>
            <w:tcW w:type="dxa" w:w="1300"/>
          </w:tcPr>
          <w:p>
            <w:pPr>
              <w:spacing w:after="120"/>
            </w:pPr>
            <w:r>
              <w:rPr>
                <w:sz w:val="14"/>
                <w:szCs w:val="14"/>
              </w:rPr>
              <w:t xml:space="preserve">NERC CIP</w:t>
            </w:r>
          </w:p>
        </w:tc>
        <w:tc>
          <w:tcPr>
            <w:tcW w:type="dxa" w:w="3600"/>
          </w:tcPr>
          <w:p>
            <w:pPr>
              <w:spacing w:after="120"/>
            </w:pPr>
            <w:r>
              <w:rPr>
                <w:sz w:val="14"/>
                <w:szCs w:val="14"/>
              </w:rPr>
              <w:t xml:space="preserve">Security Management Controls</w:t>
            </w:r>
          </w:p>
        </w:tc>
        <w:tc>
          <w:tcPr>
            <w:tcW w:type="dxa" w:w="2600"/>
          </w:tcPr>
          <w:p>
            <w:pPr>
              <w:spacing w:after="120"/>
            </w:pPr>
            <w:r>
              <w:rPr>
                <w:sz w:val="14"/>
                <w:szCs w:val="14"/>
              </w:rPr>
              <w:t xml:space="preserve">GV.PO Policy</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CIP-004</w:t>
            </w:r>
          </w:p>
        </w:tc>
        <w:tc>
          <w:tcPr>
            <w:tcW w:type="dxa" w:w="1300"/>
          </w:tcPr>
          <w:p>
            <w:pPr>
              <w:spacing w:after="120"/>
            </w:pPr>
            <w:r>
              <w:rPr>
                <w:sz w:val="14"/>
                <w:szCs w:val="14"/>
              </w:rPr>
              <w:t xml:space="preserve">NERC CIP</w:t>
            </w:r>
          </w:p>
        </w:tc>
        <w:tc>
          <w:tcPr>
            <w:tcW w:type="dxa" w:w="3600"/>
          </w:tcPr>
          <w:p>
            <w:pPr>
              <w:spacing w:after="120"/>
            </w:pPr>
            <w:r>
              <w:rPr>
                <w:sz w:val="14"/>
                <w:szCs w:val="14"/>
              </w:rPr>
              <w:t xml:space="preserve">Personnel &amp; Training</w:t>
            </w:r>
          </w:p>
        </w:tc>
        <w:tc>
          <w:tcPr>
            <w:tcW w:type="dxa" w:w="2600"/>
          </w:tcPr>
          <w:p>
            <w:pPr>
              <w:spacing w:after="120"/>
            </w:pPr>
            <w:r>
              <w:rPr>
                <w:sz w:val="14"/>
                <w:szCs w:val="14"/>
              </w:rPr>
              <w:t xml:space="preserve">PR.AT Awareness and Training</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CIP-005</w:t>
            </w:r>
          </w:p>
        </w:tc>
        <w:tc>
          <w:tcPr>
            <w:tcW w:type="dxa" w:w="1300"/>
          </w:tcPr>
          <w:p>
            <w:pPr>
              <w:spacing w:after="120"/>
            </w:pPr>
            <w:r>
              <w:rPr>
                <w:sz w:val="14"/>
                <w:szCs w:val="14"/>
              </w:rPr>
              <w:t xml:space="preserve">NERC CIP</w:t>
            </w:r>
          </w:p>
        </w:tc>
        <w:tc>
          <w:tcPr>
            <w:tcW w:type="dxa" w:w="3600"/>
          </w:tcPr>
          <w:p>
            <w:pPr>
              <w:spacing w:after="120"/>
            </w:pPr>
            <w:r>
              <w:rPr>
                <w:sz w:val="14"/>
                <w:szCs w:val="14"/>
              </w:rPr>
              <w:t xml:space="preserve">Electronic Security Perimeter(s)</w:t>
            </w:r>
          </w:p>
        </w:tc>
        <w:tc>
          <w:tcPr>
            <w:tcW w:type="dxa" w:w="2600"/>
          </w:tcPr>
          <w:p>
            <w:pPr>
              <w:spacing w:after="120"/>
            </w:pPr>
            <w:r>
              <w:rPr>
                <w:sz w:val="14"/>
                <w:szCs w:val="14"/>
              </w:rPr>
              <w:t xml:space="preserve">PR.IR Technology Infrastructure Resilience</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CIP-006</w:t>
            </w:r>
          </w:p>
        </w:tc>
        <w:tc>
          <w:tcPr>
            <w:tcW w:type="dxa" w:w="1300"/>
          </w:tcPr>
          <w:p>
            <w:pPr>
              <w:spacing w:after="120"/>
            </w:pPr>
            <w:r>
              <w:rPr>
                <w:sz w:val="14"/>
                <w:szCs w:val="14"/>
              </w:rPr>
              <w:t xml:space="preserve">NERC CIP</w:t>
            </w:r>
          </w:p>
        </w:tc>
        <w:tc>
          <w:tcPr>
            <w:tcW w:type="dxa" w:w="3600"/>
          </w:tcPr>
          <w:p>
            <w:pPr>
              <w:spacing w:after="120"/>
            </w:pPr>
            <w:r>
              <w:rPr>
                <w:sz w:val="14"/>
                <w:szCs w:val="14"/>
              </w:rPr>
              <w:t xml:space="preserve">Physical Security of BES Cyber Systems</w:t>
            </w:r>
          </w:p>
        </w:tc>
        <w:tc>
          <w:tcPr>
            <w:tcW w:type="dxa" w:w="2600"/>
          </w:tcPr>
          <w:p>
            <w:pPr>
              <w:spacing w:after="120"/>
            </w:pPr>
            <w:r>
              <w:rPr>
                <w:sz w:val="14"/>
                <w:szCs w:val="14"/>
              </w:rPr>
              <w:t xml:space="preserve">PR.AA Identity Management, Authentication, and Access Control</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CIP-007-PATCH</w:t>
            </w:r>
          </w:p>
        </w:tc>
        <w:tc>
          <w:tcPr>
            <w:tcW w:type="dxa" w:w="1300"/>
          </w:tcPr>
          <w:p>
            <w:pPr>
              <w:spacing w:after="120"/>
            </w:pPr>
            <w:r>
              <w:rPr>
                <w:sz w:val="14"/>
                <w:szCs w:val="14"/>
              </w:rPr>
              <w:t xml:space="preserve">NERC CIP</w:t>
            </w:r>
          </w:p>
        </w:tc>
        <w:tc>
          <w:tcPr>
            <w:tcW w:type="dxa" w:w="3600"/>
          </w:tcPr>
          <w:p>
            <w:pPr>
              <w:spacing w:after="120"/>
            </w:pPr>
            <w:r>
              <w:rPr>
                <w:sz w:val="14"/>
                <w:szCs w:val="14"/>
              </w:rPr>
              <w:t xml:space="preserve">System Security Management -- Patch Management</w:t>
            </w:r>
          </w:p>
        </w:tc>
        <w:tc>
          <w:tcPr>
            <w:tcW w:type="dxa" w:w="2600"/>
          </w:tcPr>
          <w:p>
            <w:pPr>
              <w:spacing w:after="120"/>
            </w:pPr>
            <w:r>
              <w:rPr>
                <w:sz w:val="14"/>
                <w:szCs w:val="14"/>
              </w:rPr>
              <w:t xml:space="preserve">PR.PS Platform Security</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CIP-007-MALWARE</w:t>
            </w:r>
          </w:p>
        </w:tc>
        <w:tc>
          <w:tcPr>
            <w:tcW w:type="dxa" w:w="1300"/>
          </w:tcPr>
          <w:p>
            <w:pPr>
              <w:spacing w:after="120"/>
            </w:pPr>
            <w:r>
              <w:rPr>
                <w:sz w:val="14"/>
                <w:szCs w:val="14"/>
              </w:rPr>
              <w:t xml:space="preserve">NERC CIP</w:t>
            </w:r>
          </w:p>
        </w:tc>
        <w:tc>
          <w:tcPr>
            <w:tcW w:type="dxa" w:w="3600"/>
          </w:tcPr>
          <w:p>
            <w:pPr>
              <w:spacing w:after="120"/>
            </w:pPr>
            <w:r>
              <w:rPr>
                <w:sz w:val="14"/>
                <w:szCs w:val="14"/>
              </w:rPr>
              <w:t xml:space="preserve">System Security Management -- Malicious Code Prevention</w:t>
            </w:r>
          </w:p>
        </w:tc>
        <w:tc>
          <w:tcPr>
            <w:tcW w:type="dxa" w:w="2600"/>
          </w:tcPr>
          <w:p>
            <w:pPr>
              <w:spacing w:after="120"/>
            </w:pPr>
            <w:r>
              <w:rPr>
                <w:sz w:val="14"/>
                <w:szCs w:val="14"/>
              </w:rPr>
              <w:t xml:space="preserve">PR.PS Platform Security</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CIP-007-LOG</w:t>
            </w:r>
          </w:p>
        </w:tc>
        <w:tc>
          <w:tcPr>
            <w:tcW w:type="dxa" w:w="1300"/>
          </w:tcPr>
          <w:p>
            <w:pPr>
              <w:spacing w:after="120"/>
            </w:pPr>
            <w:r>
              <w:rPr>
                <w:sz w:val="14"/>
                <w:szCs w:val="14"/>
              </w:rPr>
              <w:t xml:space="preserve">NERC CIP</w:t>
            </w:r>
          </w:p>
        </w:tc>
        <w:tc>
          <w:tcPr>
            <w:tcW w:type="dxa" w:w="3600"/>
          </w:tcPr>
          <w:p>
            <w:pPr>
              <w:spacing w:after="120"/>
            </w:pPr>
            <w:r>
              <w:rPr>
                <w:sz w:val="14"/>
                <w:szCs w:val="14"/>
              </w:rPr>
              <w:t xml:space="preserve">System Security Management -- Security Event Logging</w:t>
            </w:r>
          </w:p>
        </w:tc>
        <w:tc>
          <w:tcPr>
            <w:tcW w:type="dxa" w:w="2600"/>
          </w:tcPr>
          <w:p>
            <w:pPr>
              <w:spacing w:after="120"/>
            </w:pPr>
            <w:r>
              <w:rPr>
                <w:sz w:val="14"/>
                <w:szCs w:val="14"/>
              </w:rPr>
              <w:t xml:space="preserve">DE.CM Continuous Monitoring</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CIP-007-AUTH</w:t>
            </w:r>
          </w:p>
        </w:tc>
        <w:tc>
          <w:tcPr>
            <w:tcW w:type="dxa" w:w="1300"/>
          </w:tcPr>
          <w:p>
            <w:pPr>
              <w:spacing w:after="120"/>
            </w:pPr>
            <w:r>
              <w:rPr>
                <w:sz w:val="14"/>
                <w:szCs w:val="14"/>
              </w:rPr>
              <w:t xml:space="preserve">NERC CIP</w:t>
            </w:r>
          </w:p>
        </w:tc>
        <w:tc>
          <w:tcPr>
            <w:tcW w:type="dxa" w:w="3600"/>
          </w:tcPr>
          <w:p>
            <w:pPr>
              <w:spacing w:after="120"/>
            </w:pPr>
            <w:r>
              <w:rPr>
                <w:sz w:val="14"/>
                <w:szCs w:val="14"/>
              </w:rPr>
              <w:t xml:space="preserve">System Security Management -- Authentication/Access Controls</w:t>
            </w:r>
          </w:p>
        </w:tc>
        <w:tc>
          <w:tcPr>
            <w:tcW w:type="dxa" w:w="2600"/>
          </w:tcPr>
          <w:p>
            <w:pPr>
              <w:spacing w:after="120"/>
            </w:pPr>
            <w:r>
              <w:rPr>
                <w:sz w:val="14"/>
                <w:szCs w:val="14"/>
              </w:rPr>
              <w:t xml:space="preserve">PR.AA Identity Management, Authentication, and Access Control</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CIP-008-PLAN</w:t>
            </w:r>
          </w:p>
        </w:tc>
        <w:tc>
          <w:tcPr>
            <w:tcW w:type="dxa" w:w="1300"/>
          </w:tcPr>
          <w:p>
            <w:pPr>
              <w:spacing w:after="120"/>
            </w:pPr>
            <w:r>
              <w:rPr>
                <w:sz w:val="14"/>
                <w:szCs w:val="14"/>
              </w:rPr>
              <w:t xml:space="preserve">NERC CIP</w:t>
            </w:r>
          </w:p>
        </w:tc>
        <w:tc>
          <w:tcPr>
            <w:tcW w:type="dxa" w:w="3600"/>
          </w:tcPr>
          <w:p>
            <w:pPr>
              <w:spacing w:after="120"/>
            </w:pPr>
            <w:r>
              <w:rPr>
                <w:sz w:val="14"/>
                <w:szCs w:val="14"/>
              </w:rPr>
              <w:t xml:space="preserve">Incident Response Planning</w:t>
            </w:r>
          </w:p>
        </w:tc>
        <w:tc>
          <w:tcPr>
            <w:tcW w:type="dxa" w:w="2600"/>
          </w:tcPr>
          <w:p>
            <w:pPr>
              <w:spacing w:after="120"/>
            </w:pPr>
            <w:r>
              <w:rPr>
                <w:sz w:val="14"/>
                <w:szCs w:val="14"/>
              </w:rPr>
              <w:t xml:space="preserve">RS.MA Incident Management</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CIP-008-REPORT</w:t>
            </w:r>
          </w:p>
        </w:tc>
        <w:tc>
          <w:tcPr>
            <w:tcW w:type="dxa" w:w="1300"/>
          </w:tcPr>
          <w:p>
            <w:pPr>
              <w:spacing w:after="120"/>
            </w:pPr>
            <w:r>
              <w:rPr>
                <w:sz w:val="14"/>
                <w:szCs w:val="14"/>
              </w:rPr>
              <w:t xml:space="preserve">NERC CIP</w:t>
            </w:r>
          </w:p>
        </w:tc>
        <w:tc>
          <w:tcPr>
            <w:tcW w:type="dxa" w:w="3600"/>
          </w:tcPr>
          <w:p>
            <w:pPr>
              <w:spacing w:after="120"/>
            </w:pPr>
            <w:r>
              <w:rPr>
                <w:sz w:val="14"/>
                <w:szCs w:val="14"/>
              </w:rPr>
              <w:t xml:space="preserve">Incident Reporting (E-ISAC/NCCIC)</w:t>
            </w:r>
          </w:p>
        </w:tc>
        <w:tc>
          <w:tcPr>
            <w:tcW w:type="dxa" w:w="2600"/>
          </w:tcPr>
          <w:p>
            <w:pPr>
              <w:spacing w:after="120"/>
            </w:pPr>
            <w:r>
              <w:rPr>
                <w:sz w:val="14"/>
                <w:szCs w:val="14"/>
              </w:rPr>
              <w:t xml:space="preserve">RS.CO Incident Response Reporting and Communication</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CIP-009</w:t>
            </w:r>
          </w:p>
        </w:tc>
        <w:tc>
          <w:tcPr>
            <w:tcW w:type="dxa" w:w="1300"/>
          </w:tcPr>
          <w:p>
            <w:pPr>
              <w:spacing w:after="120"/>
            </w:pPr>
            <w:r>
              <w:rPr>
                <w:sz w:val="14"/>
                <w:szCs w:val="14"/>
              </w:rPr>
              <w:t xml:space="preserve">NERC CIP</w:t>
            </w:r>
          </w:p>
        </w:tc>
        <w:tc>
          <w:tcPr>
            <w:tcW w:type="dxa" w:w="3600"/>
          </w:tcPr>
          <w:p>
            <w:pPr>
              <w:spacing w:after="120"/>
            </w:pPr>
            <w:r>
              <w:rPr>
                <w:sz w:val="14"/>
                <w:szCs w:val="14"/>
              </w:rPr>
              <w:t xml:space="preserve">Recovery Plans for BES Cyber Systems</w:t>
            </w:r>
          </w:p>
        </w:tc>
        <w:tc>
          <w:tcPr>
            <w:tcW w:type="dxa" w:w="2600"/>
          </w:tcPr>
          <w:p>
            <w:pPr>
              <w:spacing w:after="120"/>
            </w:pPr>
            <w:r>
              <w:rPr>
                <w:sz w:val="14"/>
                <w:szCs w:val="14"/>
              </w:rPr>
              <w:t xml:space="preserve">RC.RP Incident Recovery Plan Execution</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CIP-010</w:t>
            </w:r>
          </w:p>
        </w:tc>
        <w:tc>
          <w:tcPr>
            <w:tcW w:type="dxa" w:w="1300"/>
          </w:tcPr>
          <w:p>
            <w:pPr>
              <w:spacing w:after="120"/>
            </w:pPr>
            <w:r>
              <w:rPr>
                <w:sz w:val="14"/>
                <w:szCs w:val="14"/>
              </w:rPr>
              <w:t xml:space="preserve">NERC CIP</w:t>
            </w:r>
          </w:p>
        </w:tc>
        <w:tc>
          <w:tcPr>
            <w:tcW w:type="dxa" w:w="3600"/>
          </w:tcPr>
          <w:p>
            <w:pPr>
              <w:spacing w:after="120"/>
            </w:pPr>
            <w:r>
              <w:rPr>
                <w:sz w:val="14"/>
                <w:szCs w:val="14"/>
              </w:rPr>
              <w:t xml:space="preserve">Configuration Change Management and Vulnerability Assessments</w:t>
            </w:r>
          </w:p>
        </w:tc>
        <w:tc>
          <w:tcPr>
            <w:tcW w:type="dxa" w:w="2600"/>
          </w:tcPr>
          <w:p>
            <w:pPr>
              <w:spacing w:after="120"/>
            </w:pPr>
            <w:r>
              <w:rPr>
                <w:sz w:val="14"/>
                <w:szCs w:val="14"/>
              </w:rPr>
              <w:t xml:space="preserve">PR.PS Platform Security</w:t>
            </w:r>
          </w:p>
        </w:tc>
        <w:tc>
          <w:tcPr>
            <w:tcW w:type="dxa" w:w="1700"/>
          </w:tcPr>
          <w:p>
            <w:pPr>
              <w:spacing w:after="120"/>
            </w:pPr>
            <w:r>
              <w:rPr>
                <w:sz w:val="14"/>
                <w:szCs w:val="14"/>
              </w:rPr>
              <w:t xml:space="preserve">medium</w:t>
            </w:r>
          </w:p>
        </w:tc>
      </w:tr>
      <w:tr>
        <w:tc>
          <w:tcPr>
            <w:tcW w:type="dxa" w:w="1300"/>
          </w:tcPr>
          <w:p>
            <w:pPr>
              <w:spacing w:after="120"/>
            </w:pPr>
            <w:r>
              <w:rPr>
                <w:sz w:val="14"/>
                <w:szCs w:val="14"/>
              </w:rPr>
              <w:t xml:space="preserve">CIP-011</w:t>
            </w:r>
          </w:p>
        </w:tc>
        <w:tc>
          <w:tcPr>
            <w:tcW w:type="dxa" w:w="1300"/>
          </w:tcPr>
          <w:p>
            <w:pPr>
              <w:spacing w:after="120"/>
            </w:pPr>
            <w:r>
              <w:rPr>
                <w:sz w:val="14"/>
                <w:szCs w:val="14"/>
              </w:rPr>
              <w:t xml:space="preserve">NERC CIP</w:t>
            </w:r>
          </w:p>
        </w:tc>
        <w:tc>
          <w:tcPr>
            <w:tcW w:type="dxa" w:w="3600"/>
          </w:tcPr>
          <w:p>
            <w:pPr>
              <w:spacing w:after="120"/>
            </w:pPr>
            <w:r>
              <w:rPr>
                <w:sz w:val="14"/>
                <w:szCs w:val="14"/>
              </w:rPr>
              <w:t xml:space="preserve">Information Protection</w:t>
            </w:r>
          </w:p>
        </w:tc>
        <w:tc>
          <w:tcPr>
            <w:tcW w:type="dxa" w:w="2600"/>
          </w:tcPr>
          <w:p>
            <w:pPr>
              <w:spacing w:after="120"/>
            </w:pPr>
            <w:r>
              <w:rPr>
                <w:sz w:val="14"/>
                <w:szCs w:val="14"/>
              </w:rPr>
              <w:t xml:space="preserve">PR.DS Data Security</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CIP-012</w:t>
            </w:r>
          </w:p>
        </w:tc>
        <w:tc>
          <w:tcPr>
            <w:tcW w:type="dxa" w:w="1300"/>
          </w:tcPr>
          <w:p>
            <w:pPr>
              <w:spacing w:after="120"/>
            </w:pPr>
            <w:r>
              <w:rPr>
                <w:sz w:val="14"/>
                <w:szCs w:val="14"/>
              </w:rPr>
              <w:t xml:space="preserve">NERC CIP</w:t>
            </w:r>
          </w:p>
        </w:tc>
        <w:tc>
          <w:tcPr>
            <w:tcW w:type="dxa" w:w="3600"/>
          </w:tcPr>
          <w:p>
            <w:pPr>
              <w:spacing w:after="120"/>
            </w:pPr>
            <w:r>
              <w:rPr>
                <w:sz w:val="14"/>
                <w:szCs w:val="14"/>
              </w:rPr>
              <w:t xml:space="preserve">Communications between Control Centers</w:t>
            </w:r>
          </w:p>
        </w:tc>
        <w:tc>
          <w:tcPr>
            <w:tcW w:type="dxa" w:w="2600"/>
          </w:tcPr>
          <w:p>
            <w:pPr>
              <w:spacing w:after="120"/>
            </w:pPr>
            <w:r>
              <w:rPr>
                <w:sz w:val="14"/>
                <w:szCs w:val="14"/>
              </w:rPr>
              <w:t xml:space="preserve">PR.DS Data Security</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CIP-013</w:t>
            </w:r>
          </w:p>
        </w:tc>
        <w:tc>
          <w:tcPr>
            <w:tcW w:type="dxa" w:w="1300"/>
          </w:tcPr>
          <w:p>
            <w:pPr>
              <w:spacing w:after="120"/>
            </w:pPr>
            <w:r>
              <w:rPr>
                <w:sz w:val="14"/>
                <w:szCs w:val="14"/>
              </w:rPr>
              <w:t xml:space="preserve">NERC CIP</w:t>
            </w:r>
          </w:p>
        </w:tc>
        <w:tc>
          <w:tcPr>
            <w:tcW w:type="dxa" w:w="3600"/>
          </w:tcPr>
          <w:p>
            <w:pPr>
              <w:spacing w:after="120"/>
            </w:pPr>
            <w:r>
              <w:rPr>
                <w:sz w:val="14"/>
                <w:szCs w:val="14"/>
              </w:rPr>
              <w:t xml:space="preserve">Supply Chain Risk Management</w:t>
            </w:r>
          </w:p>
        </w:tc>
        <w:tc>
          <w:tcPr>
            <w:tcW w:type="dxa" w:w="2600"/>
          </w:tcPr>
          <w:p>
            <w:pPr>
              <w:spacing w:after="120"/>
            </w:pPr>
            <w:r>
              <w:rPr>
                <w:sz w:val="14"/>
                <w:szCs w:val="14"/>
              </w:rPr>
              <w:t xml:space="preserve">GV.SC Cybersecurity Supply Chain Risk Management</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CIP-014</w:t>
            </w:r>
          </w:p>
        </w:tc>
        <w:tc>
          <w:tcPr>
            <w:tcW w:type="dxa" w:w="1300"/>
          </w:tcPr>
          <w:p>
            <w:pPr>
              <w:spacing w:after="120"/>
            </w:pPr>
            <w:r>
              <w:rPr>
                <w:sz w:val="14"/>
                <w:szCs w:val="14"/>
              </w:rPr>
              <w:t xml:space="preserve">NERC CIP</w:t>
            </w:r>
          </w:p>
        </w:tc>
        <w:tc>
          <w:tcPr>
            <w:tcW w:type="dxa" w:w="3600"/>
          </w:tcPr>
          <w:p>
            <w:pPr>
              <w:spacing w:after="120"/>
            </w:pPr>
            <w:r>
              <w:rPr>
                <w:sz w:val="14"/>
                <w:szCs w:val="14"/>
              </w:rPr>
              <w:t xml:space="preserve">Physical Security (transmission stations/substations)</w:t>
            </w:r>
          </w:p>
        </w:tc>
        <w:tc>
          <w:tcPr>
            <w:tcW w:type="dxa" w:w="2600"/>
          </w:tcPr>
          <w:p>
            <w:pPr>
              <w:spacing w:after="120"/>
            </w:pPr>
            <w:r>
              <w:rPr>
                <w:sz w:val="14"/>
                <w:szCs w:val="14"/>
              </w:rPr>
              <w:t xml:space="preserve">ID.RA Risk Assessment</w:t>
            </w:r>
          </w:p>
        </w:tc>
        <w:tc>
          <w:tcPr>
            <w:tcW w:type="dxa" w:w="1700"/>
          </w:tcPr>
          <w:p>
            <w:pPr>
              <w:spacing w:after="120"/>
            </w:pPr>
            <w:r>
              <w:rPr>
                <w:sz w:val="14"/>
                <w:szCs w:val="14"/>
              </w:rPr>
              <w:t xml:space="preserve">medium</w:t>
            </w:r>
          </w:p>
        </w:tc>
      </w:tr>
      <w:tr>
        <w:tc>
          <w:tcPr>
            <w:tcW w:type="dxa" w:w="1300"/>
          </w:tcPr>
          <w:p>
            <w:pPr>
              <w:spacing w:after="120"/>
            </w:pPr>
            <w:r>
              <w:rPr>
                <w:sz w:val="14"/>
                <w:szCs w:val="14"/>
              </w:rPr>
              <w:t xml:space="preserve">TSA-SD-COORD</w:t>
            </w:r>
          </w:p>
        </w:tc>
        <w:tc>
          <w:tcPr>
            <w:tcW w:type="dxa" w:w="1300"/>
          </w:tcPr>
          <w:p>
            <w:pPr>
              <w:spacing w:after="120"/>
            </w:pPr>
            <w:r>
              <w:rPr>
                <w:sz w:val="14"/>
                <w:szCs w:val="14"/>
              </w:rPr>
              <w:t xml:space="preserve">TSA</w:t>
            </w:r>
          </w:p>
        </w:tc>
        <w:tc>
          <w:tcPr>
            <w:tcW w:type="dxa" w:w="3600"/>
          </w:tcPr>
          <w:p>
            <w:pPr>
              <w:spacing w:after="120"/>
            </w:pPr>
            <w:r>
              <w:rPr>
                <w:sz w:val="14"/>
                <w:szCs w:val="14"/>
              </w:rPr>
              <w:t xml:space="preserve">Designate a Cybersecurity Coordinator</w:t>
            </w:r>
          </w:p>
        </w:tc>
        <w:tc>
          <w:tcPr>
            <w:tcW w:type="dxa" w:w="2600"/>
          </w:tcPr>
          <w:p>
            <w:pPr>
              <w:spacing w:after="120"/>
            </w:pPr>
            <w:r>
              <w:rPr>
                <w:sz w:val="14"/>
                <w:szCs w:val="14"/>
              </w:rPr>
              <w:t xml:space="preserve">GV.RR Roles, Responsibilities, and Authorities</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TSA-SD-REPORT24H</w:t>
            </w:r>
          </w:p>
        </w:tc>
        <w:tc>
          <w:tcPr>
            <w:tcW w:type="dxa" w:w="1300"/>
          </w:tcPr>
          <w:p>
            <w:pPr>
              <w:spacing w:after="120"/>
            </w:pPr>
            <w:r>
              <w:rPr>
                <w:sz w:val="14"/>
                <w:szCs w:val="14"/>
              </w:rPr>
              <w:t xml:space="preserve">TSA</w:t>
            </w:r>
          </w:p>
        </w:tc>
        <w:tc>
          <w:tcPr>
            <w:tcW w:type="dxa" w:w="3600"/>
          </w:tcPr>
          <w:p>
            <w:pPr>
              <w:spacing w:after="120"/>
            </w:pPr>
            <w:r>
              <w:rPr>
                <w:sz w:val="14"/>
                <w:szCs w:val="14"/>
              </w:rPr>
              <w:t xml:space="preserve">24-Hour Cybersecurity Incident Reporting</w:t>
            </w:r>
          </w:p>
        </w:tc>
        <w:tc>
          <w:tcPr>
            <w:tcW w:type="dxa" w:w="2600"/>
          </w:tcPr>
          <w:p>
            <w:pPr>
              <w:spacing w:after="120"/>
            </w:pPr>
            <w:r>
              <w:rPr>
                <w:sz w:val="14"/>
                <w:szCs w:val="14"/>
              </w:rPr>
              <w:t xml:space="preserve">RS.CO Incident Response Reporting and Communication</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TSA-SD-VULNASSESS</w:t>
            </w:r>
          </w:p>
        </w:tc>
        <w:tc>
          <w:tcPr>
            <w:tcW w:type="dxa" w:w="1300"/>
          </w:tcPr>
          <w:p>
            <w:pPr>
              <w:spacing w:after="120"/>
            </w:pPr>
            <w:r>
              <w:rPr>
                <w:sz w:val="14"/>
                <w:szCs w:val="14"/>
              </w:rPr>
              <w:t xml:space="preserve">TSA</w:t>
            </w:r>
          </w:p>
        </w:tc>
        <w:tc>
          <w:tcPr>
            <w:tcW w:type="dxa" w:w="3600"/>
          </w:tcPr>
          <w:p>
            <w:pPr>
              <w:spacing w:after="120"/>
            </w:pPr>
            <w:r>
              <w:rPr>
                <w:sz w:val="14"/>
                <w:szCs w:val="14"/>
              </w:rPr>
              <w:t xml:space="preserve">Cybersecurity Vulnerability Assessments</w:t>
            </w:r>
          </w:p>
        </w:tc>
        <w:tc>
          <w:tcPr>
            <w:tcW w:type="dxa" w:w="2600"/>
          </w:tcPr>
          <w:p>
            <w:pPr>
              <w:spacing w:after="120"/>
            </w:pPr>
            <w:r>
              <w:rPr>
                <w:sz w:val="14"/>
                <w:szCs w:val="14"/>
              </w:rPr>
              <w:t xml:space="preserve">ID.RA Risk Assessment</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TSA-SD-RANSOM</w:t>
            </w:r>
          </w:p>
        </w:tc>
        <w:tc>
          <w:tcPr>
            <w:tcW w:type="dxa" w:w="1300"/>
          </w:tcPr>
          <w:p>
            <w:pPr>
              <w:spacing w:after="120"/>
            </w:pPr>
            <w:r>
              <w:rPr>
                <w:sz w:val="14"/>
                <w:szCs w:val="14"/>
              </w:rPr>
              <w:t xml:space="preserve">TSA</w:t>
            </w:r>
          </w:p>
        </w:tc>
        <w:tc>
          <w:tcPr>
            <w:tcW w:type="dxa" w:w="3600"/>
          </w:tcPr>
          <w:p>
            <w:pPr>
              <w:spacing w:after="120"/>
            </w:pPr>
            <w:r>
              <w:rPr>
                <w:sz w:val="14"/>
                <w:szCs w:val="14"/>
              </w:rPr>
              <w:t xml:space="preserve">Ransomware Mitigation Actions</w:t>
            </w:r>
          </w:p>
        </w:tc>
        <w:tc>
          <w:tcPr>
            <w:tcW w:type="dxa" w:w="2600"/>
          </w:tcPr>
          <w:p>
            <w:pPr>
              <w:spacing w:after="120"/>
            </w:pPr>
            <w:r>
              <w:rPr>
                <w:sz w:val="14"/>
                <w:szCs w:val="14"/>
              </w:rPr>
              <w:t xml:space="preserve">PR.PS Platform Security</w:t>
            </w:r>
          </w:p>
        </w:tc>
        <w:tc>
          <w:tcPr>
            <w:tcW w:type="dxa" w:w="1700"/>
          </w:tcPr>
          <w:p>
            <w:pPr>
              <w:spacing w:after="120"/>
            </w:pPr>
            <w:r>
              <w:rPr>
                <w:sz w:val="14"/>
                <w:szCs w:val="14"/>
              </w:rPr>
              <w:t xml:space="preserve">medium</w:t>
            </w:r>
          </w:p>
        </w:tc>
      </w:tr>
      <w:tr>
        <w:tc>
          <w:tcPr>
            <w:tcW w:type="dxa" w:w="1300"/>
          </w:tcPr>
          <w:p>
            <w:pPr>
              <w:spacing w:after="120"/>
            </w:pPr>
            <w:r>
              <w:rPr>
                <w:sz w:val="14"/>
                <w:szCs w:val="14"/>
              </w:rPr>
              <w:t xml:space="preserve">TSA-SD-RECOVERY</w:t>
            </w:r>
          </w:p>
        </w:tc>
        <w:tc>
          <w:tcPr>
            <w:tcW w:type="dxa" w:w="1300"/>
          </w:tcPr>
          <w:p>
            <w:pPr>
              <w:spacing w:after="120"/>
            </w:pPr>
            <w:r>
              <w:rPr>
                <w:sz w:val="14"/>
                <w:szCs w:val="14"/>
              </w:rPr>
              <w:t xml:space="preserve">TSA</w:t>
            </w:r>
          </w:p>
        </w:tc>
        <w:tc>
          <w:tcPr>
            <w:tcW w:type="dxa" w:w="3600"/>
          </w:tcPr>
          <w:p>
            <w:pPr>
              <w:spacing w:after="120"/>
            </w:pPr>
            <w:r>
              <w:rPr>
                <w:sz w:val="14"/>
                <w:szCs w:val="14"/>
              </w:rPr>
              <w:t xml:space="preserve">Cybersecurity Contingency and Recovery Plans</w:t>
            </w:r>
          </w:p>
        </w:tc>
        <w:tc>
          <w:tcPr>
            <w:tcW w:type="dxa" w:w="2600"/>
          </w:tcPr>
          <w:p>
            <w:pPr>
              <w:spacing w:after="120"/>
            </w:pPr>
            <w:r>
              <w:rPr>
                <w:sz w:val="14"/>
                <w:szCs w:val="14"/>
              </w:rPr>
              <w:t xml:space="preserve">RC.RP Incident Recovery Plan Execution</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TSA-SD-ARCHREVIEW</w:t>
            </w:r>
          </w:p>
        </w:tc>
        <w:tc>
          <w:tcPr>
            <w:tcW w:type="dxa" w:w="1300"/>
          </w:tcPr>
          <w:p>
            <w:pPr>
              <w:spacing w:after="120"/>
            </w:pPr>
            <w:r>
              <w:rPr>
                <w:sz w:val="14"/>
                <w:szCs w:val="14"/>
              </w:rPr>
              <w:t xml:space="preserve">TSA</w:t>
            </w:r>
          </w:p>
        </w:tc>
        <w:tc>
          <w:tcPr>
            <w:tcW w:type="dxa" w:w="3600"/>
          </w:tcPr>
          <w:p>
            <w:pPr>
              <w:spacing w:after="120"/>
            </w:pPr>
            <w:r>
              <w:rPr>
                <w:sz w:val="14"/>
                <w:szCs w:val="14"/>
              </w:rPr>
              <w:t xml:space="preserve">Cybersecurity Architecture Design Review</w:t>
            </w:r>
          </w:p>
        </w:tc>
        <w:tc>
          <w:tcPr>
            <w:tcW w:type="dxa" w:w="2600"/>
          </w:tcPr>
          <w:p>
            <w:pPr>
              <w:spacing w:after="120"/>
            </w:pPr>
            <w:r>
              <w:rPr>
                <w:sz w:val="14"/>
                <w:szCs w:val="14"/>
              </w:rPr>
              <w:t xml:space="preserve">ID.RA Risk Assessment</w:t>
            </w:r>
          </w:p>
        </w:tc>
        <w:tc>
          <w:tcPr>
            <w:tcW w:type="dxa" w:w="1700"/>
          </w:tcPr>
          <w:p>
            <w:pPr>
              <w:spacing w:after="120"/>
            </w:pPr>
            <w:r>
              <w:rPr>
                <w:sz w:val="14"/>
                <w:szCs w:val="14"/>
              </w:rPr>
              <w:t xml:space="preserve">medium</w:t>
            </w:r>
          </w:p>
        </w:tc>
      </w:tr>
      <w:tr>
        <w:tc>
          <w:tcPr>
            <w:tcW w:type="dxa" w:w="1300"/>
          </w:tcPr>
          <w:p>
            <w:pPr>
              <w:spacing w:after="120"/>
            </w:pPr>
            <w:r>
              <w:rPr>
                <w:sz w:val="14"/>
                <w:szCs w:val="14"/>
              </w:rPr>
              <w:t xml:space="preserve">TSA-PROP-CRM</w:t>
            </w:r>
          </w:p>
        </w:tc>
        <w:tc>
          <w:tcPr>
            <w:tcW w:type="dxa" w:w="1300"/>
          </w:tcPr>
          <w:p>
            <w:pPr>
              <w:spacing w:after="120"/>
            </w:pPr>
            <w:r>
              <w:rPr>
                <w:sz w:val="14"/>
                <w:szCs w:val="14"/>
              </w:rPr>
              <w:t xml:space="preserve">TSA</w:t>
            </w:r>
          </w:p>
        </w:tc>
        <w:tc>
          <w:tcPr>
            <w:tcW w:type="dxa" w:w="3600"/>
          </w:tcPr>
          <w:p>
            <w:pPr>
              <w:spacing w:after="120"/>
            </w:pPr>
            <w:r>
              <w:rPr>
                <w:sz w:val="14"/>
                <w:szCs w:val="14"/>
              </w:rPr>
              <w:t xml:space="preserve">[Proposed] Cybersecurity Risk Management (CRM) Program</w:t>
            </w:r>
          </w:p>
        </w:tc>
        <w:tc>
          <w:tcPr>
            <w:tcW w:type="dxa" w:w="2600"/>
          </w:tcPr>
          <w:p>
            <w:pPr>
              <w:spacing w:after="120"/>
            </w:pPr>
            <w:r>
              <w:rPr>
                <w:sz w:val="14"/>
                <w:szCs w:val="14"/>
              </w:rPr>
              <w:t xml:space="preserve">GV.RM Risk Management Strategy</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TSA-PROP-SEGMENT</w:t>
            </w:r>
          </w:p>
        </w:tc>
        <w:tc>
          <w:tcPr>
            <w:tcW w:type="dxa" w:w="1300"/>
          </w:tcPr>
          <w:p>
            <w:pPr>
              <w:spacing w:after="120"/>
            </w:pPr>
            <w:r>
              <w:rPr>
                <w:sz w:val="14"/>
                <w:szCs w:val="14"/>
              </w:rPr>
              <w:t xml:space="preserve">TSA</w:t>
            </w:r>
          </w:p>
        </w:tc>
        <w:tc>
          <w:tcPr>
            <w:tcW w:type="dxa" w:w="3600"/>
          </w:tcPr>
          <w:p>
            <w:pPr>
              <w:spacing w:after="120"/>
            </w:pPr>
            <w:r>
              <w:rPr>
                <w:sz w:val="14"/>
                <w:szCs w:val="14"/>
              </w:rPr>
              <w:t xml:space="preserve">[Proposed] Network Segmentation Requirement</w:t>
            </w:r>
          </w:p>
        </w:tc>
        <w:tc>
          <w:tcPr>
            <w:tcW w:type="dxa" w:w="2600"/>
          </w:tcPr>
          <w:p>
            <w:pPr>
              <w:spacing w:after="120"/>
            </w:pPr>
            <w:r>
              <w:rPr>
                <w:sz w:val="14"/>
                <w:szCs w:val="14"/>
              </w:rPr>
              <w:t xml:space="preserve">PR.IR Technology Infrastructure Resilience</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TSA-PROP-ACCESS</w:t>
            </w:r>
          </w:p>
        </w:tc>
        <w:tc>
          <w:tcPr>
            <w:tcW w:type="dxa" w:w="1300"/>
          </w:tcPr>
          <w:p>
            <w:pPr>
              <w:spacing w:after="120"/>
            </w:pPr>
            <w:r>
              <w:rPr>
                <w:sz w:val="14"/>
                <w:szCs w:val="14"/>
              </w:rPr>
              <w:t xml:space="preserve">TSA</w:t>
            </w:r>
          </w:p>
        </w:tc>
        <w:tc>
          <w:tcPr>
            <w:tcW w:type="dxa" w:w="3600"/>
          </w:tcPr>
          <w:p>
            <w:pPr>
              <w:spacing w:after="120"/>
            </w:pPr>
            <w:r>
              <w:rPr>
                <w:sz w:val="14"/>
                <w:szCs w:val="14"/>
              </w:rPr>
              <w:t xml:space="preserve">[Proposed] Access Control Measures</w:t>
            </w:r>
          </w:p>
        </w:tc>
        <w:tc>
          <w:tcPr>
            <w:tcW w:type="dxa" w:w="2600"/>
          </w:tcPr>
          <w:p>
            <w:pPr>
              <w:spacing w:after="120"/>
            </w:pPr>
            <w:r>
              <w:rPr>
                <w:sz w:val="14"/>
                <w:szCs w:val="14"/>
              </w:rPr>
              <w:t xml:space="preserve">PR.AA Identity Management, Authentication, and Access Control</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TSA-PROP-MONITOR</w:t>
            </w:r>
          </w:p>
        </w:tc>
        <w:tc>
          <w:tcPr>
            <w:tcW w:type="dxa" w:w="1300"/>
          </w:tcPr>
          <w:p>
            <w:pPr>
              <w:spacing w:after="120"/>
            </w:pPr>
            <w:r>
              <w:rPr>
                <w:sz w:val="14"/>
                <w:szCs w:val="14"/>
              </w:rPr>
              <w:t xml:space="preserve">TSA</w:t>
            </w:r>
          </w:p>
        </w:tc>
        <w:tc>
          <w:tcPr>
            <w:tcW w:type="dxa" w:w="3600"/>
          </w:tcPr>
          <w:p>
            <w:pPr>
              <w:spacing w:after="120"/>
            </w:pPr>
            <w:r>
              <w:rPr>
                <w:sz w:val="14"/>
                <w:szCs w:val="14"/>
              </w:rPr>
              <w:t xml:space="preserve">[Proposed] Continuous Monitoring Requirement</w:t>
            </w:r>
          </w:p>
        </w:tc>
        <w:tc>
          <w:tcPr>
            <w:tcW w:type="dxa" w:w="2600"/>
          </w:tcPr>
          <w:p>
            <w:pPr>
              <w:spacing w:after="120"/>
            </w:pPr>
            <w:r>
              <w:rPr>
                <w:sz w:val="14"/>
                <w:szCs w:val="14"/>
              </w:rPr>
              <w:t xml:space="preserve">DE.CM Continuous Monitoring</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TSA-PROP-PATCH</w:t>
            </w:r>
          </w:p>
        </w:tc>
        <w:tc>
          <w:tcPr>
            <w:tcW w:type="dxa" w:w="1300"/>
          </w:tcPr>
          <w:p>
            <w:pPr>
              <w:spacing w:after="120"/>
            </w:pPr>
            <w:r>
              <w:rPr>
                <w:sz w:val="14"/>
                <w:szCs w:val="14"/>
              </w:rPr>
              <w:t xml:space="preserve">TSA</w:t>
            </w:r>
          </w:p>
        </w:tc>
        <w:tc>
          <w:tcPr>
            <w:tcW w:type="dxa" w:w="3600"/>
          </w:tcPr>
          <w:p>
            <w:pPr>
              <w:spacing w:after="120"/>
            </w:pPr>
            <w:r>
              <w:rPr>
                <w:sz w:val="14"/>
                <w:szCs w:val="14"/>
              </w:rPr>
              <w:t xml:space="preserve">[Proposed] Patch Management Requirement</w:t>
            </w:r>
          </w:p>
        </w:tc>
        <w:tc>
          <w:tcPr>
            <w:tcW w:type="dxa" w:w="2600"/>
          </w:tcPr>
          <w:p>
            <w:pPr>
              <w:spacing w:after="120"/>
            </w:pPr>
            <w:r>
              <w:rPr>
                <w:sz w:val="14"/>
                <w:szCs w:val="14"/>
              </w:rPr>
              <w:t xml:space="preserve">PR.PS Platform Security</w:t>
            </w:r>
          </w:p>
        </w:tc>
        <w:tc>
          <w:tcPr>
            <w:tcW w:type="dxa" w:w="1700"/>
          </w:tcPr>
          <w:p>
            <w:pPr>
              <w:spacing w:after="120"/>
            </w:pPr>
            <w:r>
              <w:rPr>
                <w:sz w:val="14"/>
                <w:szCs w:val="14"/>
              </w:rPr>
              <w:t xml:space="preserve">high</w:t>
            </w:r>
          </w:p>
        </w:tc>
      </w:tr>
      <w:tr>
        <w:tc>
          <w:tcPr>
            <w:tcW w:type="dxa" w:w="1300"/>
          </w:tcPr>
          <w:p>
            <w:pPr>
              <w:spacing w:after="120"/>
            </w:pPr>
            <w:r>
              <w:rPr>
                <w:sz w:val="14"/>
                <w:szCs w:val="14"/>
              </w:rPr>
              <w:t xml:space="preserve">GV.OC</w:t>
            </w:r>
          </w:p>
        </w:tc>
        <w:tc>
          <w:tcPr>
            <w:tcW w:type="dxa" w:w="1300"/>
          </w:tcPr>
          <w:p>
            <w:pPr>
              <w:spacing w:after="120"/>
            </w:pPr>
            <w:r>
              <w:rPr>
                <w:sz w:val="14"/>
                <w:szCs w:val="14"/>
              </w:rPr>
              <w:t xml:space="preserve">CSF 2.0</w:t>
            </w:r>
          </w:p>
        </w:tc>
        <w:tc>
          <w:tcPr>
            <w:tcW w:type="dxa" w:w="3600"/>
          </w:tcPr>
          <w:p>
            <w:pPr>
              <w:spacing w:after="120"/>
            </w:pPr>
            <w:r>
              <w:rPr>
                <w:sz w:val="14"/>
                <w:szCs w:val="14"/>
              </w:rPr>
              <w:t xml:space="preserve">Organizational Context</w:t>
            </w:r>
          </w:p>
        </w:tc>
        <w:tc>
          <w:tcPr>
            <w:tcW w:type="dxa" w:w="2600"/>
          </w:tcPr>
          <w:p>
            <w:pPr>
              <w:spacing w:after="120"/>
            </w:pPr>
            <w:r>
              <w:rPr>
                <w:sz w:val="14"/>
                <w:szCs w:val="14"/>
              </w:rPr>
              <w:t xml:space="preserve">GV.OC Organizational Context</w:t>
            </w:r>
          </w:p>
        </w:tc>
        <w:tc>
          <w:tcPr>
            <w:tcW w:type="dxa" w:w="1700"/>
          </w:tcPr>
          <w:p>
            <w:pPr>
              <w:spacing w:after="120"/>
            </w:pPr>
            <w:r>
              <w:rPr>
                <w:sz w:val="14"/>
                <w:szCs w:val="14"/>
              </w:rPr>
              <w:t xml:space="preserve">n/a</w:t>
            </w:r>
          </w:p>
        </w:tc>
      </w:tr>
      <w:tr>
        <w:tc>
          <w:tcPr>
            <w:tcW w:type="dxa" w:w="1300"/>
          </w:tcPr>
          <w:p>
            <w:pPr>
              <w:spacing w:after="120"/>
            </w:pPr>
            <w:r>
              <w:rPr>
                <w:sz w:val="14"/>
                <w:szCs w:val="14"/>
              </w:rPr>
              <w:t xml:space="preserve">GV.RM</w:t>
            </w:r>
          </w:p>
        </w:tc>
        <w:tc>
          <w:tcPr>
            <w:tcW w:type="dxa" w:w="1300"/>
          </w:tcPr>
          <w:p>
            <w:pPr>
              <w:spacing w:after="120"/>
            </w:pPr>
            <w:r>
              <w:rPr>
                <w:sz w:val="14"/>
                <w:szCs w:val="14"/>
              </w:rPr>
              <w:t xml:space="preserve">CSF 2.0</w:t>
            </w:r>
          </w:p>
        </w:tc>
        <w:tc>
          <w:tcPr>
            <w:tcW w:type="dxa" w:w="3600"/>
          </w:tcPr>
          <w:p>
            <w:pPr>
              <w:spacing w:after="120"/>
            </w:pPr>
            <w:r>
              <w:rPr>
                <w:sz w:val="14"/>
                <w:szCs w:val="14"/>
              </w:rPr>
              <w:t xml:space="preserve">Risk Management Strategy</w:t>
            </w:r>
          </w:p>
        </w:tc>
        <w:tc>
          <w:tcPr>
            <w:tcW w:type="dxa" w:w="2600"/>
          </w:tcPr>
          <w:p>
            <w:pPr>
              <w:spacing w:after="120"/>
            </w:pPr>
            <w:r>
              <w:rPr>
                <w:sz w:val="14"/>
                <w:szCs w:val="14"/>
              </w:rPr>
              <w:t xml:space="preserve">GV.RM Risk Management Strategy</w:t>
            </w:r>
          </w:p>
        </w:tc>
        <w:tc>
          <w:tcPr>
            <w:tcW w:type="dxa" w:w="1700"/>
          </w:tcPr>
          <w:p>
            <w:pPr>
              <w:spacing w:after="120"/>
            </w:pPr>
            <w:r>
              <w:rPr>
                <w:sz w:val="14"/>
                <w:szCs w:val="14"/>
              </w:rPr>
              <w:t xml:space="preserve">n/a</w:t>
            </w:r>
          </w:p>
        </w:tc>
      </w:tr>
      <w:tr>
        <w:tc>
          <w:tcPr>
            <w:tcW w:type="dxa" w:w="1300"/>
          </w:tcPr>
          <w:p>
            <w:pPr>
              <w:spacing w:after="120"/>
            </w:pPr>
            <w:r>
              <w:rPr>
                <w:sz w:val="14"/>
                <w:szCs w:val="14"/>
              </w:rPr>
              <w:t xml:space="preserve">GV.RR</w:t>
            </w:r>
          </w:p>
        </w:tc>
        <w:tc>
          <w:tcPr>
            <w:tcW w:type="dxa" w:w="1300"/>
          </w:tcPr>
          <w:p>
            <w:pPr>
              <w:spacing w:after="120"/>
            </w:pPr>
            <w:r>
              <w:rPr>
                <w:sz w:val="14"/>
                <w:szCs w:val="14"/>
              </w:rPr>
              <w:t xml:space="preserve">CSF 2.0</w:t>
            </w:r>
          </w:p>
        </w:tc>
        <w:tc>
          <w:tcPr>
            <w:tcW w:type="dxa" w:w="3600"/>
          </w:tcPr>
          <w:p>
            <w:pPr>
              <w:spacing w:after="120"/>
            </w:pPr>
            <w:r>
              <w:rPr>
                <w:sz w:val="14"/>
                <w:szCs w:val="14"/>
              </w:rPr>
              <w:t xml:space="preserve">Roles, Responsibilities, and Authorities</w:t>
            </w:r>
          </w:p>
        </w:tc>
        <w:tc>
          <w:tcPr>
            <w:tcW w:type="dxa" w:w="2600"/>
          </w:tcPr>
          <w:p>
            <w:pPr>
              <w:spacing w:after="120"/>
            </w:pPr>
            <w:r>
              <w:rPr>
                <w:sz w:val="14"/>
                <w:szCs w:val="14"/>
              </w:rPr>
              <w:t xml:space="preserve">GV.RR Roles, Responsibilities, and Authorities</w:t>
            </w:r>
          </w:p>
        </w:tc>
        <w:tc>
          <w:tcPr>
            <w:tcW w:type="dxa" w:w="1700"/>
          </w:tcPr>
          <w:p>
            <w:pPr>
              <w:spacing w:after="120"/>
            </w:pPr>
            <w:r>
              <w:rPr>
                <w:sz w:val="14"/>
                <w:szCs w:val="14"/>
              </w:rPr>
              <w:t xml:space="preserve">n/a</w:t>
            </w:r>
          </w:p>
        </w:tc>
      </w:tr>
      <w:tr>
        <w:tc>
          <w:tcPr>
            <w:tcW w:type="dxa" w:w="1300"/>
          </w:tcPr>
          <w:p>
            <w:pPr>
              <w:spacing w:after="120"/>
            </w:pPr>
            <w:r>
              <w:rPr>
                <w:sz w:val="14"/>
                <w:szCs w:val="14"/>
              </w:rPr>
              <w:t xml:space="preserve">GV.PO</w:t>
            </w:r>
          </w:p>
        </w:tc>
        <w:tc>
          <w:tcPr>
            <w:tcW w:type="dxa" w:w="1300"/>
          </w:tcPr>
          <w:p>
            <w:pPr>
              <w:spacing w:after="120"/>
            </w:pPr>
            <w:r>
              <w:rPr>
                <w:sz w:val="14"/>
                <w:szCs w:val="14"/>
              </w:rPr>
              <w:t xml:space="preserve">CSF 2.0</w:t>
            </w:r>
          </w:p>
        </w:tc>
        <w:tc>
          <w:tcPr>
            <w:tcW w:type="dxa" w:w="3600"/>
          </w:tcPr>
          <w:p>
            <w:pPr>
              <w:spacing w:after="120"/>
            </w:pPr>
            <w:r>
              <w:rPr>
                <w:sz w:val="14"/>
                <w:szCs w:val="14"/>
              </w:rPr>
              <w:t xml:space="preserve">Policy</w:t>
            </w:r>
          </w:p>
        </w:tc>
        <w:tc>
          <w:tcPr>
            <w:tcW w:type="dxa" w:w="2600"/>
          </w:tcPr>
          <w:p>
            <w:pPr>
              <w:spacing w:after="120"/>
            </w:pPr>
            <w:r>
              <w:rPr>
                <w:sz w:val="14"/>
                <w:szCs w:val="14"/>
              </w:rPr>
              <w:t xml:space="preserve">GV.PO Policy</w:t>
            </w:r>
          </w:p>
        </w:tc>
        <w:tc>
          <w:tcPr>
            <w:tcW w:type="dxa" w:w="1700"/>
          </w:tcPr>
          <w:p>
            <w:pPr>
              <w:spacing w:after="120"/>
            </w:pPr>
            <w:r>
              <w:rPr>
                <w:sz w:val="14"/>
                <w:szCs w:val="14"/>
              </w:rPr>
              <w:t xml:space="preserve">n/a</w:t>
            </w:r>
          </w:p>
        </w:tc>
      </w:tr>
      <w:tr>
        <w:tc>
          <w:tcPr>
            <w:tcW w:type="dxa" w:w="1300"/>
          </w:tcPr>
          <w:p>
            <w:pPr>
              <w:spacing w:after="120"/>
            </w:pPr>
            <w:r>
              <w:rPr>
                <w:sz w:val="14"/>
                <w:szCs w:val="14"/>
              </w:rPr>
              <w:t xml:space="preserve">GV.OV</w:t>
            </w:r>
          </w:p>
        </w:tc>
        <w:tc>
          <w:tcPr>
            <w:tcW w:type="dxa" w:w="1300"/>
          </w:tcPr>
          <w:p>
            <w:pPr>
              <w:spacing w:after="120"/>
            </w:pPr>
            <w:r>
              <w:rPr>
                <w:sz w:val="14"/>
                <w:szCs w:val="14"/>
              </w:rPr>
              <w:t xml:space="preserve">CSF 2.0</w:t>
            </w:r>
          </w:p>
        </w:tc>
        <w:tc>
          <w:tcPr>
            <w:tcW w:type="dxa" w:w="3600"/>
          </w:tcPr>
          <w:p>
            <w:pPr>
              <w:spacing w:after="120"/>
            </w:pPr>
            <w:r>
              <w:rPr>
                <w:sz w:val="14"/>
                <w:szCs w:val="14"/>
              </w:rPr>
              <w:t xml:space="preserve">Oversight</w:t>
            </w:r>
          </w:p>
        </w:tc>
        <w:tc>
          <w:tcPr>
            <w:tcW w:type="dxa" w:w="2600"/>
          </w:tcPr>
          <w:p>
            <w:pPr>
              <w:spacing w:after="120"/>
            </w:pPr>
            <w:r>
              <w:rPr>
                <w:sz w:val="14"/>
                <w:szCs w:val="14"/>
              </w:rPr>
              <w:t xml:space="preserve">GV.OV Oversight</w:t>
            </w:r>
          </w:p>
        </w:tc>
        <w:tc>
          <w:tcPr>
            <w:tcW w:type="dxa" w:w="1700"/>
          </w:tcPr>
          <w:p>
            <w:pPr>
              <w:spacing w:after="120"/>
            </w:pPr>
            <w:r>
              <w:rPr>
                <w:sz w:val="14"/>
                <w:szCs w:val="14"/>
              </w:rPr>
              <w:t xml:space="preserve">n/a</w:t>
            </w:r>
          </w:p>
        </w:tc>
      </w:tr>
      <w:tr>
        <w:tc>
          <w:tcPr>
            <w:tcW w:type="dxa" w:w="1300"/>
          </w:tcPr>
          <w:p>
            <w:pPr>
              <w:spacing w:after="120"/>
            </w:pPr>
            <w:r>
              <w:rPr>
                <w:sz w:val="14"/>
                <w:szCs w:val="14"/>
              </w:rPr>
              <w:t xml:space="preserve">GV.SC</w:t>
            </w:r>
          </w:p>
        </w:tc>
        <w:tc>
          <w:tcPr>
            <w:tcW w:type="dxa" w:w="1300"/>
          </w:tcPr>
          <w:p>
            <w:pPr>
              <w:spacing w:after="120"/>
            </w:pPr>
            <w:r>
              <w:rPr>
                <w:sz w:val="14"/>
                <w:szCs w:val="14"/>
              </w:rPr>
              <w:t xml:space="preserve">CSF 2.0</w:t>
            </w:r>
          </w:p>
        </w:tc>
        <w:tc>
          <w:tcPr>
            <w:tcW w:type="dxa" w:w="3600"/>
          </w:tcPr>
          <w:p>
            <w:pPr>
              <w:spacing w:after="120"/>
            </w:pPr>
            <w:r>
              <w:rPr>
                <w:sz w:val="14"/>
                <w:szCs w:val="14"/>
              </w:rPr>
              <w:t xml:space="preserve">Cybersecurity Supply Chain Risk Management</w:t>
            </w:r>
          </w:p>
        </w:tc>
        <w:tc>
          <w:tcPr>
            <w:tcW w:type="dxa" w:w="2600"/>
          </w:tcPr>
          <w:p>
            <w:pPr>
              <w:spacing w:after="120"/>
            </w:pPr>
            <w:r>
              <w:rPr>
                <w:sz w:val="14"/>
                <w:szCs w:val="14"/>
              </w:rPr>
              <w:t xml:space="preserve">GV.SC Cybersecurity Supply Chain Risk Management</w:t>
            </w:r>
          </w:p>
        </w:tc>
        <w:tc>
          <w:tcPr>
            <w:tcW w:type="dxa" w:w="1700"/>
          </w:tcPr>
          <w:p>
            <w:pPr>
              <w:spacing w:after="120"/>
            </w:pPr>
            <w:r>
              <w:rPr>
                <w:sz w:val="14"/>
                <w:szCs w:val="14"/>
              </w:rPr>
              <w:t xml:space="preserve">n/a</w:t>
            </w:r>
          </w:p>
        </w:tc>
      </w:tr>
      <w:tr>
        <w:tc>
          <w:tcPr>
            <w:tcW w:type="dxa" w:w="1300"/>
          </w:tcPr>
          <w:p>
            <w:pPr>
              <w:spacing w:after="120"/>
            </w:pPr>
            <w:r>
              <w:rPr>
                <w:sz w:val="14"/>
                <w:szCs w:val="14"/>
              </w:rPr>
              <w:t xml:space="preserve">ID.AM</w:t>
            </w:r>
          </w:p>
        </w:tc>
        <w:tc>
          <w:tcPr>
            <w:tcW w:type="dxa" w:w="1300"/>
          </w:tcPr>
          <w:p>
            <w:pPr>
              <w:spacing w:after="120"/>
            </w:pPr>
            <w:r>
              <w:rPr>
                <w:sz w:val="14"/>
                <w:szCs w:val="14"/>
              </w:rPr>
              <w:t xml:space="preserve">CSF 2.0</w:t>
            </w:r>
          </w:p>
        </w:tc>
        <w:tc>
          <w:tcPr>
            <w:tcW w:type="dxa" w:w="3600"/>
          </w:tcPr>
          <w:p>
            <w:pPr>
              <w:spacing w:after="120"/>
            </w:pPr>
            <w:r>
              <w:rPr>
                <w:sz w:val="14"/>
                <w:szCs w:val="14"/>
              </w:rPr>
              <w:t xml:space="preserve">Asset Management</w:t>
            </w:r>
          </w:p>
        </w:tc>
        <w:tc>
          <w:tcPr>
            <w:tcW w:type="dxa" w:w="2600"/>
          </w:tcPr>
          <w:p>
            <w:pPr>
              <w:spacing w:after="120"/>
            </w:pPr>
            <w:r>
              <w:rPr>
                <w:sz w:val="14"/>
                <w:szCs w:val="14"/>
              </w:rPr>
              <w:t xml:space="preserve">ID.AM Asset Management</w:t>
            </w:r>
          </w:p>
        </w:tc>
        <w:tc>
          <w:tcPr>
            <w:tcW w:type="dxa" w:w="1700"/>
          </w:tcPr>
          <w:p>
            <w:pPr>
              <w:spacing w:after="120"/>
            </w:pPr>
            <w:r>
              <w:rPr>
                <w:sz w:val="14"/>
                <w:szCs w:val="14"/>
              </w:rPr>
              <w:t xml:space="preserve">n/a</w:t>
            </w:r>
          </w:p>
        </w:tc>
      </w:tr>
      <w:tr>
        <w:tc>
          <w:tcPr>
            <w:tcW w:type="dxa" w:w="1300"/>
          </w:tcPr>
          <w:p>
            <w:pPr>
              <w:spacing w:after="120"/>
            </w:pPr>
            <w:r>
              <w:rPr>
                <w:sz w:val="14"/>
                <w:szCs w:val="14"/>
              </w:rPr>
              <w:t xml:space="preserve">ID.RA</w:t>
            </w:r>
          </w:p>
        </w:tc>
        <w:tc>
          <w:tcPr>
            <w:tcW w:type="dxa" w:w="1300"/>
          </w:tcPr>
          <w:p>
            <w:pPr>
              <w:spacing w:after="120"/>
            </w:pPr>
            <w:r>
              <w:rPr>
                <w:sz w:val="14"/>
                <w:szCs w:val="14"/>
              </w:rPr>
              <w:t xml:space="preserve">CSF 2.0</w:t>
            </w:r>
          </w:p>
        </w:tc>
        <w:tc>
          <w:tcPr>
            <w:tcW w:type="dxa" w:w="3600"/>
          </w:tcPr>
          <w:p>
            <w:pPr>
              <w:spacing w:after="120"/>
            </w:pPr>
            <w:r>
              <w:rPr>
                <w:sz w:val="14"/>
                <w:szCs w:val="14"/>
              </w:rPr>
              <w:t xml:space="preserve">Risk Assessment</w:t>
            </w:r>
          </w:p>
        </w:tc>
        <w:tc>
          <w:tcPr>
            <w:tcW w:type="dxa" w:w="2600"/>
          </w:tcPr>
          <w:p>
            <w:pPr>
              <w:spacing w:after="120"/>
            </w:pPr>
            <w:r>
              <w:rPr>
                <w:sz w:val="14"/>
                <w:szCs w:val="14"/>
              </w:rPr>
              <w:t xml:space="preserve">ID.RA Risk Assessment</w:t>
            </w:r>
          </w:p>
        </w:tc>
        <w:tc>
          <w:tcPr>
            <w:tcW w:type="dxa" w:w="1700"/>
          </w:tcPr>
          <w:p>
            <w:pPr>
              <w:spacing w:after="120"/>
            </w:pPr>
            <w:r>
              <w:rPr>
                <w:sz w:val="14"/>
                <w:szCs w:val="14"/>
              </w:rPr>
              <w:t xml:space="preserve">n/a</w:t>
            </w:r>
          </w:p>
        </w:tc>
      </w:tr>
      <w:tr>
        <w:tc>
          <w:tcPr>
            <w:tcW w:type="dxa" w:w="1300"/>
          </w:tcPr>
          <w:p>
            <w:pPr>
              <w:spacing w:after="120"/>
            </w:pPr>
            <w:r>
              <w:rPr>
                <w:sz w:val="14"/>
                <w:szCs w:val="14"/>
              </w:rPr>
              <w:t xml:space="preserve">ID.IM</w:t>
            </w:r>
          </w:p>
        </w:tc>
        <w:tc>
          <w:tcPr>
            <w:tcW w:type="dxa" w:w="1300"/>
          </w:tcPr>
          <w:p>
            <w:pPr>
              <w:spacing w:after="120"/>
            </w:pPr>
            <w:r>
              <w:rPr>
                <w:sz w:val="14"/>
                <w:szCs w:val="14"/>
              </w:rPr>
              <w:t xml:space="preserve">CSF 2.0</w:t>
            </w:r>
          </w:p>
        </w:tc>
        <w:tc>
          <w:tcPr>
            <w:tcW w:type="dxa" w:w="3600"/>
          </w:tcPr>
          <w:p>
            <w:pPr>
              <w:spacing w:after="120"/>
            </w:pPr>
            <w:r>
              <w:rPr>
                <w:sz w:val="14"/>
                <w:szCs w:val="14"/>
              </w:rPr>
              <w:t xml:space="preserve">Improvement</w:t>
            </w:r>
          </w:p>
        </w:tc>
        <w:tc>
          <w:tcPr>
            <w:tcW w:type="dxa" w:w="2600"/>
          </w:tcPr>
          <w:p>
            <w:pPr>
              <w:spacing w:after="120"/>
            </w:pPr>
            <w:r>
              <w:rPr>
                <w:sz w:val="14"/>
                <w:szCs w:val="14"/>
              </w:rPr>
              <w:t xml:space="preserve">ID.IM Improvement</w:t>
            </w:r>
          </w:p>
        </w:tc>
        <w:tc>
          <w:tcPr>
            <w:tcW w:type="dxa" w:w="1700"/>
          </w:tcPr>
          <w:p>
            <w:pPr>
              <w:spacing w:after="120"/>
            </w:pPr>
            <w:r>
              <w:rPr>
                <w:sz w:val="14"/>
                <w:szCs w:val="14"/>
              </w:rPr>
              <w:t xml:space="preserve">n/a</w:t>
            </w:r>
          </w:p>
        </w:tc>
      </w:tr>
      <w:tr>
        <w:tc>
          <w:tcPr>
            <w:tcW w:type="dxa" w:w="1300"/>
          </w:tcPr>
          <w:p>
            <w:pPr>
              <w:spacing w:after="120"/>
            </w:pPr>
            <w:r>
              <w:rPr>
                <w:sz w:val="14"/>
                <w:szCs w:val="14"/>
              </w:rPr>
              <w:t xml:space="preserve">PR.AA</w:t>
            </w:r>
          </w:p>
        </w:tc>
        <w:tc>
          <w:tcPr>
            <w:tcW w:type="dxa" w:w="1300"/>
          </w:tcPr>
          <w:p>
            <w:pPr>
              <w:spacing w:after="120"/>
            </w:pPr>
            <w:r>
              <w:rPr>
                <w:sz w:val="14"/>
                <w:szCs w:val="14"/>
              </w:rPr>
              <w:t xml:space="preserve">CSF 2.0</w:t>
            </w:r>
          </w:p>
        </w:tc>
        <w:tc>
          <w:tcPr>
            <w:tcW w:type="dxa" w:w="3600"/>
          </w:tcPr>
          <w:p>
            <w:pPr>
              <w:spacing w:after="120"/>
            </w:pPr>
            <w:r>
              <w:rPr>
                <w:sz w:val="14"/>
                <w:szCs w:val="14"/>
              </w:rPr>
              <w:t xml:space="preserve">Identity Management, Authentication, and Access Control</w:t>
            </w:r>
          </w:p>
        </w:tc>
        <w:tc>
          <w:tcPr>
            <w:tcW w:type="dxa" w:w="2600"/>
          </w:tcPr>
          <w:p>
            <w:pPr>
              <w:spacing w:after="120"/>
            </w:pPr>
            <w:r>
              <w:rPr>
                <w:sz w:val="14"/>
                <w:szCs w:val="14"/>
              </w:rPr>
              <w:t xml:space="preserve">PR.AA Identity Management, Authentication, and Access Control</w:t>
            </w:r>
          </w:p>
        </w:tc>
        <w:tc>
          <w:tcPr>
            <w:tcW w:type="dxa" w:w="1700"/>
          </w:tcPr>
          <w:p>
            <w:pPr>
              <w:spacing w:after="120"/>
            </w:pPr>
            <w:r>
              <w:rPr>
                <w:sz w:val="14"/>
                <w:szCs w:val="14"/>
              </w:rPr>
              <w:t xml:space="preserve">n/a</w:t>
            </w:r>
          </w:p>
        </w:tc>
      </w:tr>
      <w:tr>
        <w:tc>
          <w:tcPr>
            <w:tcW w:type="dxa" w:w="1300"/>
          </w:tcPr>
          <w:p>
            <w:pPr>
              <w:spacing w:after="120"/>
            </w:pPr>
            <w:r>
              <w:rPr>
                <w:sz w:val="14"/>
                <w:szCs w:val="14"/>
              </w:rPr>
              <w:t xml:space="preserve">PR.AT</w:t>
            </w:r>
          </w:p>
        </w:tc>
        <w:tc>
          <w:tcPr>
            <w:tcW w:type="dxa" w:w="1300"/>
          </w:tcPr>
          <w:p>
            <w:pPr>
              <w:spacing w:after="120"/>
            </w:pPr>
            <w:r>
              <w:rPr>
                <w:sz w:val="14"/>
                <w:szCs w:val="14"/>
              </w:rPr>
              <w:t xml:space="preserve">CSF 2.0</w:t>
            </w:r>
          </w:p>
        </w:tc>
        <w:tc>
          <w:tcPr>
            <w:tcW w:type="dxa" w:w="3600"/>
          </w:tcPr>
          <w:p>
            <w:pPr>
              <w:spacing w:after="120"/>
            </w:pPr>
            <w:r>
              <w:rPr>
                <w:sz w:val="14"/>
                <w:szCs w:val="14"/>
              </w:rPr>
              <w:t xml:space="preserve">Awareness and Training</w:t>
            </w:r>
          </w:p>
        </w:tc>
        <w:tc>
          <w:tcPr>
            <w:tcW w:type="dxa" w:w="2600"/>
          </w:tcPr>
          <w:p>
            <w:pPr>
              <w:spacing w:after="120"/>
            </w:pPr>
            <w:r>
              <w:rPr>
                <w:sz w:val="14"/>
                <w:szCs w:val="14"/>
              </w:rPr>
              <w:t xml:space="preserve">PR.AT Awareness and Training</w:t>
            </w:r>
          </w:p>
        </w:tc>
        <w:tc>
          <w:tcPr>
            <w:tcW w:type="dxa" w:w="1700"/>
          </w:tcPr>
          <w:p>
            <w:pPr>
              <w:spacing w:after="120"/>
            </w:pPr>
            <w:r>
              <w:rPr>
                <w:sz w:val="14"/>
                <w:szCs w:val="14"/>
              </w:rPr>
              <w:t xml:space="preserve">n/a</w:t>
            </w:r>
          </w:p>
        </w:tc>
      </w:tr>
      <w:tr>
        <w:tc>
          <w:tcPr>
            <w:tcW w:type="dxa" w:w="1300"/>
          </w:tcPr>
          <w:p>
            <w:pPr>
              <w:spacing w:after="120"/>
            </w:pPr>
            <w:r>
              <w:rPr>
                <w:sz w:val="14"/>
                <w:szCs w:val="14"/>
              </w:rPr>
              <w:t xml:space="preserve">PR.DS</w:t>
            </w:r>
          </w:p>
        </w:tc>
        <w:tc>
          <w:tcPr>
            <w:tcW w:type="dxa" w:w="1300"/>
          </w:tcPr>
          <w:p>
            <w:pPr>
              <w:spacing w:after="120"/>
            </w:pPr>
            <w:r>
              <w:rPr>
                <w:sz w:val="14"/>
                <w:szCs w:val="14"/>
              </w:rPr>
              <w:t xml:space="preserve">CSF 2.0</w:t>
            </w:r>
          </w:p>
        </w:tc>
        <w:tc>
          <w:tcPr>
            <w:tcW w:type="dxa" w:w="3600"/>
          </w:tcPr>
          <w:p>
            <w:pPr>
              <w:spacing w:after="120"/>
            </w:pPr>
            <w:r>
              <w:rPr>
                <w:sz w:val="14"/>
                <w:szCs w:val="14"/>
              </w:rPr>
              <w:t xml:space="preserve">Data Security</w:t>
            </w:r>
          </w:p>
        </w:tc>
        <w:tc>
          <w:tcPr>
            <w:tcW w:type="dxa" w:w="2600"/>
          </w:tcPr>
          <w:p>
            <w:pPr>
              <w:spacing w:after="120"/>
            </w:pPr>
            <w:r>
              <w:rPr>
                <w:sz w:val="14"/>
                <w:szCs w:val="14"/>
              </w:rPr>
              <w:t xml:space="preserve">PR.DS Data Security</w:t>
            </w:r>
          </w:p>
        </w:tc>
        <w:tc>
          <w:tcPr>
            <w:tcW w:type="dxa" w:w="1700"/>
          </w:tcPr>
          <w:p>
            <w:pPr>
              <w:spacing w:after="120"/>
            </w:pPr>
            <w:r>
              <w:rPr>
                <w:sz w:val="14"/>
                <w:szCs w:val="14"/>
              </w:rPr>
              <w:t xml:space="preserve">n/a</w:t>
            </w:r>
          </w:p>
        </w:tc>
      </w:tr>
      <w:tr>
        <w:tc>
          <w:tcPr>
            <w:tcW w:type="dxa" w:w="1300"/>
          </w:tcPr>
          <w:p>
            <w:pPr>
              <w:spacing w:after="120"/>
            </w:pPr>
            <w:r>
              <w:rPr>
                <w:sz w:val="14"/>
                <w:szCs w:val="14"/>
              </w:rPr>
              <w:t xml:space="preserve">PR.PS</w:t>
            </w:r>
          </w:p>
        </w:tc>
        <w:tc>
          <w:tcPr>
            <w:tcW w:type="dxa" w:w="1300"/>
          </w:tcPr>
          <w:p>
            <w:pPr>
              <w:spacing w:after="120"/>
            </w:pPr>
            <w:r>
              <w:rPr>
                <w:sz w:val="14"/>
                <w:szCs w:val="14"/>
              </w:rPr>
              <w:t xml:space="preserve">CSF 2.0</w:t>
            </w:r>
          </w:p>
        </w:tc>
        <w:tc>
          <w:tcPr>
            <w:tcW w:type="dxa" w:w="3600"/>
          </w:tcPr>
          <w:p>
            <w:pPr>
              <w:spacing w:after="120"/>
            </w:pPr>
            <w:r>
              <w:rPr>
                <w:sz w:val="14"/>
                <w:szCs w:val="14"/>
              </w:rPr>
              <w:t xml:space="preserve">Platform Security</w:t>
            </w:r>
          </w:p>
        </w:tc>
        <w:tc>
          <w:tcPr>
            <w:tcW w:type="dxa" w:w="2600"/>
          </w:tcPr>
          <w:p>
            <w:pPr>
              <w:spacing w:after="120"/>
            </w:pPr>
            <w:r>
              <w:rPr>
                <w:sz w:val="14"/>
                <w:szCs w:val="14"/>
              </w:rPr>
              <w:t xml:space="preserve">PR.PS Platform Security</w:t>
            </w:r>
          </w:p>
        </w:tc>
        <w:tc>
          <w:tcPr>
            <w:tcW w:type="dxa" w:w="1700"/>
          </w:tcPr>
          <w:p>
            <w:pPr>
              <w:spacing w:after="120"/>
            </w:pPr>
            <w:r>
              <w:rPr>
                <w:sz w:val="14"/>
                <w:szCs w:val="14"/>
              </w:rPr>
              <w:t xml:space="preserve">n/a</w:t>
            </w:r>
          </w:p>
        </w:tc>
      </w:tr>
      <w:tr>
        <w:tc>
          <w:tcPr>
            <w:tcW w:type="dxa" w:w="1300"/>
          </w:tcPr>
          <w:p>
            <w:pPr>
              <w:spacing w:after="120"/>
            </w:pPr>
            <w:r>
              <w:rPr>
                <w:sz w:val="14"/>
                <w:szCs w:val="14"/>
              </w:rPr>
              <w:t xml:space="preserve">PR.IR</w:t>
            </w:r>
          </w:p>
        </w:tc>
        <w:tc>
          <w:tcPr>
            <w:tcW w:type="dxa" w:w="1300"/>
          </w:tcPr>
          <w:p>
            <w:pPr>
              <w:spacing w:after="120"/>
            </w:pPr>
            <w:r>
              <w:rPr>
                <w:sz w:val="14"/>
                <w:szCs w:val="14"/>
              </w:rPr>
              <w:t xml:space="preserve">CSF 2.0</w:t>
            </w:r>
          </w:p>
        </w:tc>
        <w:tc>
          <w:tcPr>
            <w:tcW w:type="dxa" w:w="3600"/>
          </w:tcPr>
          <w:p>
            <w:pPr>
              <w:spacing w:after="120"/>
            </w:pPr>
            <w:r>
              <w:rPr>
                <w:sz w:val="14"/>
                <w:szCs w:val="14"/>
              </w:rPr>
              <w:t xml:space="preserve">Technology Infrastructure Resilience</w:t>
            </w:r>
          </w:p>
        </w:tc>
        <w:tc>
          <w:tcPr>
            <w:tcW w:type="dxa" w:w="2600"/>
          </w:tcPr>
          <w:p>
            <w:pPr>
              <w:spacing w:after="120"/>
            </w:pPr>
            <w:r>
              <w:rPr>
                <w:sz w:val="14"/>
                <w:szCs w:val="14"/>
              </w:rPr>
              <w:t xml:space="preserve">PR.IR Technology Infrastructure Resilience</w:t>
            </w:r>
          </w:p>
        </w:tc>
        <w:tc>
          <w:tcPr>
            <w:tcW w:type="dxa" w:w="1700"/>
          </w:tcPr>
          <w:p>
            <w:pPr>
              <w:spacing w:after="120"/>
            </w:pPr>
            <w:r>
              <w:rPr>
                <w:sz w:val="14"/>
                <w:szCs w:val="14"/>
              </w:rPr>
              <w:t xml:space="preserve">n/a</w:t>
            </w:r>
          </w:p>
        </w:tc>
      </w:tr>
      <w:tr>
        <w:tc>
          <w:tcPr>
            <w:tcW w:type="dxa" w:w="1300"/>
          </w:tcPr>
          <w:p>
            <w:pPr>
              <w:spacing w:after="120"/>
            </w:pPr>
            <w:r>
              <w:rPr>
                <w:sz w:val="14"/>
                <w:szCs w:val="14"/>
              </w:rPr>
              <w:t xml:space="preserve">DE.CM</w:t>
            </w:r>
          </w:p>
        </w:tc>
        <w:tc>
          <w:tcPr>
            <w:tcW w:type="dxa" w:w="1300"/>
          </w:tcPr>
          <w:p>
            <w:pPr>
              <w:spacing w:after="120"/>
            </w:pPr>
            <w:r>
              <w:rPr>
                <w:sz w:val="14"/>
                <w:szCs w:val="14"/>
              </w:rPr>
              <w:t xml:space="preserve">CSF 2.0</w:t>
            </w:r>
          </w:p>
        </w:tc>
        <w:tc>
          <w:tcPr>
            <w:tcW w:type="dxa" w:w="3600"/>
          </w:tcPr>
          <w:p>
            <w:pPr>
              <w:spacing w:after="120"/>
            </w:pPr>
            <w:r>
              <w:rPr>
                <w:sz w:val="14"/>
                <w:szCs w:val="14"/>
              </w:rPr>
              <w:t xml:space="preserve">Continuous Monitoring</w:t>
            </w:r>
          </w:p>
        </w:tc>
        <w:tc>
          <w:tcPr>
            <w:tcW w:type="dxa" w:w="2600"/>
          </w:tcPr>
          <w:p>
            <w:pPr>
              <w:spacing w:after="120"/>
            </w:pPr>
            <w:r>
              <w:rPr>
                <w:sz w:val="14"/>
                <w:szCs w:val="14"/>
              </w:rPr>
              <w:t xml:space="preserve">DE.CM Continuous Monitoring</w:t>
            </w:r>
          </w:p>
        </w:tc>
        <w:tc>
          <w:tcPr>
            <w:tcW w:type="dxa" w:w="1700"/>
          </w:tcPr>
          <w:p>
            <w:pPr>
              <w:spacing w:after="120"/>
            </w:pPr>
            <w:r>
              <w:rPr>
                <w:sz w:val="14"/>
                <w:szCs w:val="14"/>
              </w:rPr>
              <w:t xml:space="preserve">n/a</w:t>
            </w:r>
          </w:p>
        </w:tc>
      </w:tr>
      <w:tr>
        <w:tc>
          <w:tcPr>
            <w:tcW w:type="dxa" w:w="1300"/>
          </w:tcPr>
          <w:p>
            <w:pPr>
              <w:spacing w:after="120"/>
            </w:pPr>
            <w:r>
              <w:rPr>
                <w:sz w:val="14"/>
                <w:szCs w:val="14"/>
              </w:rPr>
              <w:t xml:space="preserve">DE.AE</w:t>
            </w:r>
          </w:p>
        </w:tc>
        <w:tc>
          <w:tcPr>
            <w:tcW w:type="dxa" w:w="1300"/>
          </w:tcPr>
          <w:p>
            <w:pPr>
              <w:spacing w:after="120"/>
            </w:pPr>
            <w:r>
              <w:rPr>
                <w:sz w:val="14"/>
                <w:szCs w:val="14"/>
              </w:rPr>
              <w:t xml:space="preserve">CSF 2.0</w:t>
            </w:r>
          </w:p>
        </w:tc>
        <w:tc>
          <w:tcPr>
            <w:tcW w:type="dxa" w:w="3600"/>
          </w:tcPr>
          <w:p>
            <w:pPr>
              <w:spacing w:after="120"/>
            </w:pPr>
            <w:r>
              <w:rPr>
                <w:sz w:val="14"/>
                <w:szCs w:val="14"/>
              </w:rPr>
              <w:t xml:space="preserve">Adverse Event Analysis</w:t>
            </w:r>
          </w:p>
        </w:tc>
        <w:tc>
          <w:tcPr>
            <w:tcW w:type="dxa" w:w="2600"/>
          </w:tcPr>
          <w:p>
            <w:pPr>
              <w:spacing w:after="120"/>
            </w:pPr>
            <w:r>
              <w:rPr>
                <w:sz w:val="14"/>
                <w:szCs w:val="14"/>
              </w:rPr>
              <w:t xml:space="preserve">DE.AE Adverse Event Analysis</w:t>
            </w:r>
          </w:p>
        </w:tc>
        <w:tc>
          <w:tcPr>
            <w:tcW w:type="dxa" w:w="1700"/>
          </w:tcPr>
          <w:p>
            <w:pPr>
              <w:spacing w:after="120"/>
            </w:pPr>
            <w:r>
              <w:rPr>
                <w:sz w:val="14"/>
                <w:szCs w:val="14"/>
              </w:rPr>
              <w:t xml:space="preserve">n/a</w:t>
            </w:r>
          </w:p>
        </w:tc>
      </w:tr>
      <w:tr>
        <w:tc>
          <w:tcPr>
            <w:tcW w:type="dxa" w:w="1300"/>
          </w:tcPr>
          <w:p>
            <w:pPr>
              <w:spacing w:after="120"/>
            </w:pPr>
            <w:r>
              <w:rPr>
                <w:sz w:val="14"/>
                <w:szCs w:val="14"/>
              </w:rPr>
              <w:t xml:space="preserve">RS.MA</w:t>
            </w:r>
          </w:p>
        </w:tc>
        <w:tc>
          <w:tcPr>
            <w:tcW w:type="dxa" w:w="1300"/>
          </w:tcPr>
          <w:p>
            <w:pPr>
              <w:spacing w:after="120"/>
            </w:pPr>
            <w:r>
              <w:rPr>
                <w:sz w:val="14"/>
                <w:szCs w:val="14"/>
              </w:rPr>
              <w:t xml:space="preserve">CSF 2.0</w:t>
            </w:r>
          </w:p>
        </w:tc>
        <w:tc>
          <w:tcPr>
            <w:tcW w:type="dxa" w:w="3600"/>
          </w:tcPr>
          <w:p>
            <w:pPr>
              <w:spacing w:after="120"/>
            </w:pPr>
            <w:r>
              <w:rPr>
                <w:sz w:val="14"/>
                <w:szCs w:val="14"/>
              </w:rPr>
              <w:t xml:space="preserve">Incident Management</w:t>
            </w:r>
          </w:p>
        </w:tc>
        <w:tc>
          <w:tcPr>
            <w:tcW w:type="dxa" w:w="2600"/>
          </w:tcPr>
          <w:p>
            <w:pPr>
              <w:spacing w:after="120"/>
            </w:pPr>
            <w:r>
              <w:rPr>
                <w:sz w:val="14"/>
                <w:szCs w:val="14"/>
              </w:rPr>
              <w:t xml:space="preserve">RS.MA Incident Management</w:t>
            </w:r>
          </w:p>
        </w:tc>
        <w:tc>
          <w:tcPr>
            <w:tcW w:type="dxa" w:w="1700"/>
          </w:tcPr>
          <w:p>
            <w:pPr>
              <w:spacing w:after="120"/>
            </w:pPr>
            <w:r>
              <w:rPr>
                <w:sz w:val="14"/>
                <w:szCs w:val="14"/>
              </w:rPr>
              <w:t xml:space="preserve">n/a</w:t>
            </w:r>
          </w:p>
        </w:tc>
      </w:tr>
      <w:tr>
        <w:tc>
          <w:tcPr>
            <w:tcW w:type="dxa" w:w="1300"/>
          </w:tcPr>
          <w:p>
            <w:pPr>
              <w:spacing w:after="120"/>
            </w:pPr>
            <w:r>
              <w:rPr>
                <w:sz w:val="14"/>
                <w:szCs w:val="14"/>
              </w:rPr>
              <w:t xml:space="preserve">RS.AN</w:t>
            </w:r>
          </w:p>
        </w:tc>
        <w:tc>
          <w:tcPr>
            <w:tcW w:type="dxa" w:w="1300"/>
          </w:tcPr>
          <w:p>
            <w:pPr>
              <w:spacing w:after="120"/>
            </w:pPr>
            <w:r>
              <w:rPr>
                <w:sz w:val="14"/>
                <w:szCs w:val="14"/>
              </w:rPr>
              <w:t xml:space="preserve">CSF 2.0</w:t>
            </w:r>
          </w:p>
        </w:tc>
        <w:tc>
          <w:tcPr>
            <w:tcW w:type="dxa" w:w="3600"/>
          </w:tcPr>
          <w:p>
            <w:pPr>
              <w:spacing w:after="120"/>
            </w:pPr>
            <w:r>
              <w:rPr>
                <w:sz w:val="14"/>
                <w:szCs w:val="14"/>
              </w:rPr>
              <w:t xml:space="preserve">Incident Analysis</w:t>
            </w:r>
          </w:p>
        </w:tc>
        <w:tc>
          <w:tcPr>
            <w:tcW w:type="dxa" w:w="2600"/>
          </w:tcPr>
          <w:p>
            <w:pPr>
              <w:spacing w:after="120"/>
            </w:pPr>
            <w:r>
              <w:rPr>
                <w:sz w:val="14"/>
                <w:szCs w:val="14"/>
              </w:rPr>
              <w:t xml:space="preserve">RS.AN Incident Analysis</w:t>
            </w:r>
          </w:p>
        </w:tc>
        <w:tc>
          <w:tcPr>
            <w:tcW w:type="dxa" w:w="1700"/>
          </w:tcPr>
          <w:p>
            <w:pPr>
              <w:spacing w:after="120"/>
            </w:pPr>
            <w:r>
              <w:rPr>
                <w:sz w:val="14"/>
                <w:szCs w:val="14"/>
              </w:rPr>
              <w:t xml:space="preserve">n/a</w:t>
            </w:r>
          </w:p>
        </w:tc>
      </w:tr>
      <w:tr>
        <w:tc>
          <w:tcPr>
            <w:tcW w:type="dxa" w:w="1300"/>
          </w:tcPr>
          <w:p>
            <w:pPr>
              <w:spacing w:after="120"/>
            </w:pPr>
            <w:r>
              <w:rPr>
                <w:sz w:val="14"/>
                <w:szCs w:val="14"/>
              </w:rPr>
              <w:t xml:space="preserve">RS.CO</w:t>
            </w:r>
          </w:p>
        </w:tc>
        <w:tc>
          <w:tcPr>
            <w:tcW w:type="dxa" w:w="1300"/>
          </w:tcPr>
          <w:p>
            <w:pPr>
              <w:spacing w:after="120"/>
            </w:pPr>
            <w:r>
              <w:rPr>
                <w:sz w:val="14"/>
                <w:szCs w:val="14"/>
              </w:rPr>
              <w:t xml:space="preserve">CSF 2.0</w:t>
            </w:r>
          </w:p>
        </w:tc>
        <w:tc>
          <w:tcPr>
            <w:tcW w:type="dxa" w:w="3600"/>
          </w:tcPr>
          <w:p>
            <w:pPr>
              <w:spacing w:after="120"/>
            </w:pPr>
            <w:r>
              <w:rPr>
                <w:sz w:val="14"/>
                <w:szCs w:val="14"/>
              </w:rPr>
              <w:t xml:space="preserve">Incident Response Reporting and Communication</w:t>
            </w:r>
          </w:p>
        </w:tc>
        <w:tc>
          <w:tcPr>
            <w:tcW w:type="dxa" w:w="2600"/>
          </w:tcPr>
          <w:p>
            <w:pPr>
              <w:spacing w:after="120"/>
            </w:pPr>
            <w:r>
              <w:rPr>
                <w:sz w:val="14"/>
                <w:szCs w:val="14"/>
              </w:rPr>
              <w:t xml:space="preserve">RS.CO Incident Response Reporting and Communication</w:t>
            </w:r>
          </w:p>
        </w:tc>
        <w:tc>
          <w:tcPr>
            <w:tcW w:type="dxa" w:w="1700"/>
          </w:tcPr>
          <w:p>
            <w:pPr>
              <w:spacing w:after="120"/>
            </w:pPr>
            <w:r>
              <w:rPr>
                <w:sz w:val="14"/>
                <w:szCs w:val="14"/>
              </w:rPr>
              <w:t xml:space="preserve">n/a</w:t>
            </w:r>
          </w:p>
        </w:tc>
      </w:tr>
      <w:tr>
        <w:tc>
          <w:tcPr>
            <w:tcW w:type="dxa" w:w="1300"/>
          </w:tcPr>
          <w:p>
            <w:pPr>
              <w:spacing w:after="120"/>
            </w:pPr>
            <w:r>
              <w:rPr>
                <w:sz w:val="14"/>
                <w:szCs w:val="14"/>
              </w:rPr>
              <w:t xml:space="preserve">RS.MI</w:t>
            </w:r>
          </w:p>
        </w:tc>
        <w:tc>
          <w:tcPr>
            <w:tcW w:type="dxa" w:w="1300"/>
          </w:tcPr>
          <w:p>
            <w:pPr>
              <w:spacing w:after="120"/>
            </w:pPr>
            <w:r>
              <w:rPr>
                <w:sz w:val="14"/>
                <w:szCs w:val="14"/>
              </w:rPr>
              <w:t xml:space="preserve">CSF 2.0</w:t>
            </w:r>
          </w:p>
        </w:tc>
        <w:tc>
          <w:tcPr>
            <w:tcW w:type="dxa" w:w="3600"/>
          </w:tcPr>
          <w:p>
            <w:pPr>
              <w:spacing w:after="120"/>
            </w:pPr>
            <w:r>
              <w:rPr>
                <w:sz w:val="14"/>
                <w:szCs w:val="14"/>
              </w:rPr>
              <w:t xml:space="preserve">Incident Mitigation</w:t>
            </w:r>
          </w:p>
        </w:tc>
        <w:tc>
          <w:tcPr>
            <w:tcW w:type="dxa" w:w="2600"/>
          </w:tcPr>
          <w:p>
            <w:pPr>
              <w:spacing w:after="120"/>
            </w:pPr>
            <w:r>
              <w:rPr>
                <w:sz w:val="14"/>
                <w:szCs w:val="14"/>
              </w:rPr>
              <w:t xml:space="preserve">RS.MI Incident Mitigation</w:t>
            </w:r>
          </w:p>
        </w:tc>
        <w:tc>
          <w:tcPr>
            <w:tcW w:type="dxa" w:w="1700"/>
          </w:tcPr>
          <w:p>
            <w:pPr>
              <w:spacing w:after="120"/>
            </w:pPr>
            <w:r>
              <w:rPr>
                <w:sz w:val="14"/>
                <w:szCs w:val="14"/>
              </w:rPr>
              <w:t xml:space="preserve">n/a</w:t>
            </w:r>
          </w:p>
        </w:tc>
      </w:tr>
      <w:tr>
        <w:tc>
          <w:tcPr>
            <w:tcW w:type="dxa" w:w="1300"/>
          </w:tcPr>
          <w:p>
            <w:pPr>
              <w:spacing w:after="120"/>
            </w:pPr>
            <w:r>
              <w:rPr>
                <w:sz w:val="14"/>
                <w:szCs w:val="14"/>
              </w:rPr>
              <w:t xml:space="preserve">RC.RP</w:t>
            </w:r>
          </w:p>
        </w:tc>
        <w:tc>
          <w:tcPr>
            <w:tcW w:type="dxa" w:w="1300"/>
          </w:tcPr>
          <w:p>
            <w:pPr>
              <w:spacing w:after="120"/>
            </w:pPr>
            <w:r>
              <w:rPr>
                <w:sz w:val="14"/>
                <w:szCs w:val="14"/>
              </w:rPr>
              <w:t xml:space="preserve">CSF 2.0</w:t>
            </w:r>
          </w:p>
        </w:tc>
        <w:tc>
          <w:tcPr>
            <w:tcW w:type="dxa" w:w="3600"/>
          </w:tcPr>
          <w:p>
            <w:pPr>
              <w:spacing w:after="120"/>
            </w:pPr>
            <w:r>
              <w:rPr>
                <w:sz w:val="14"/>
                <w:szCs w:val="14"/>
              </w:rPr>
              <w:t xml:space="preserve">Incident Recovery Plan Execution</w:t>
            </w:r>
          </w:p>
        </w:tc>
        <w:tc>
          <w:tcPr>
            <w:tcW w:type="dxa" w:w="2600"/>
          </w:tcPr>
          <w:p>
            <w:pPr>
              <w:spacing w:after="120"/>
            </w:pPr>
            <w:r>
              <w:rPr>
                <w:sz w:val="14"/>
                <w:szCs w:val="14"/>
              </w:rPr>
              <w:t xml:space="preserve">RC.RP Incident Recovery Plan Execution</w:t>
            </w:r>
          </w:p>
        </w:tc>
        <w:tc>
          <w:tcPr>
            <w:tcW w:type="dxa" w:w="1700"/>
          </w:tcPr>
          <w:p>
            <w:pPr>
              <w:spacing w:after="120"/>
            </w:pPr>
            <w:r>
              <w:rPr>
                <w:sz w:val="14"/>
                <w:szCs w:val="14"/>
              </w:rPr>
              <w:t xml:space="preserve">n/a</w:t>
            </w:r>
          </w:p>
        </w:tc>
      </w:tr>
      <w:tr>
        <w:tc>
          <w:tcPr>
            <w:tcW w:type="dxa" w:w="1300"/>
          </w:tcPr>
          <w:p>
            <w:pPr>
              <w:spacing w:after="120"/>
            </w:pPr>
            <w:r>
              <w:rPr>
                <w:sz w:val="14"/>
                <w:szCs w:val="14"/>
              </w:rPr>
              <w:t xml:space="preserve">RC.CO</w:t>
            </w:r>
          </w:p>
        </w:tc>
        <w:tc>
          <w:tcPr>
            <w:tcW w:type="dxa" w:w="1300"/>
          </w:tcPr>
          <w:p>
            <w:pPr>
              <w:spacing w:after="120"/>
            </w:pPr>
            <w:r>
              <w:rPr>
                <w:sz w:val="14"/>
                <w:szCs w:val="14"/>
              </w:rPr>
              <w:t xml:space="preserve">CSF 2.0</w:t>
            </w:r>
          </w:p>
        </w:tc>
        <w:tc>
          <w:tcPr>
            <w:tcW w:type="dxa" w:w="3600"/>
          </w:tcPr>
          <w:p>
            <w:pPr>
              <w:spacing w:after="120"/>
            </w:pPr>
            <w:r>
              <w:rPr>
                <w:sz w:val="14"/>
                <w:szCs w:val="14"/>
              </w:rPr>
              <w:t xml:space="preserve">Incident Recovery Communication</w:t>
            </w:r>
          </w:p>
        </w:tc>
        <w:tc>
          <w:tcPr>
            <w:tcW w:type="dxa" w:w="2600"/>
          </w:tcPr>
          <w:p>
            <w:pPr>
              <w:spacing w:after="120"/>
            </w:pPr>
            <w:r>
              <w:rPr>
                <w:sz w:val="14"/>
                <w:szCs w:val="14"/>
              </w:rPr>
              <w:t xml:space="preserve">RC.CO Incident Recovery Communication</w:t>
            </w:r>
          </w:p>
        </w:tc>
        <w:tc>
          <w:tcPr>
            <w:tcW w:type="dxa" w:w="1700"/>
          </w:tcPr>
          <w:p>
            <w:pPr>
              <w:spacing w:after="120"/>
            </w:pPr>
            <w:r>
              <w:rPr>
                <w:sz w:val="14"/>
                <w:szCs w:val="14"/>
              </w:rPr>
              <w:t xml:space="preserve">n/a</w:t>
            </w:r>
          </w:p>
        </w:tc>
      </w:tr>
    </w:tbl>
    <w:sectPr>
      <w:pgSz w:w="15840" w:h="122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2026-09-20T02:45:15.334Z</dcterms:created>
  <dcterms:modified xsi:type="dcterms:W3CDTF">2026-09-20T02:45:15.339Z</dcterms:modified>
</cp:coreProperties>
</file>

<file path=docProps/custom.xml><?xml version="1.0" encoding="utf-8"?>
<Properties xmlns="http://schemas.openxmlformats.org/officeDocument/2006/custom-properties" xmlns:vt="http://schemas.openxmlformats.org/officeDocument/2006/docPropsVTypes"/>
</file>